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5BF" w:rsidP="009E2FA3" w:rsidRDefault="000B35BF" w14:paraId="3B2D499C" w14:textId="77777777">
      <w:pPr>
        <w:jc w:val="center"/>
        <w:rPr>
          <w:b/>
          <w:color w:val="1F497D"/>
          <w:lang w:eastAsia="en-US"/>
        </w:rPr>
      </w:pPr>
    </w:p>
    <w:p w:rsidRPr="00DE5AD0" w:rsidR="00DC26DF" w:rsidP="00087787" w:rsidRDefault="00DC26DF" w14:paraId="3B2D499D" w14:textId="77777777">
      <w:pPr>
        <w:jc w:val="both"/>
        <w:rPr>
          <w:b/>
          <w:color w:val="1F497D"/>
          <w:lang w:eastAsia="en-US"/>
        </w:rPr>
      </w:pPr>
      <w:r w:rsidRPr="00DE5AD0">
        <w:rPr>
          <w:b/>
          <w:color w:val="1F497D"/>
          <w:lang w:eastAsia="en-US"/>
        </w:rPr>
        <w:t>Autorización para</w:t>
      </w:r>
      <w:r w:rsidR="00081E23">
        <w:rPr>
          <w:b/>
          <w:color w:val="1F497D"/>
          <w:lang w:eastAsia="en-US"/>
        </w:rPr>
        <w:t xml:space="preserve"> la infraestructura asociada a la destrucción de sub</w:t>
      </w:r>
      <w:r w:rsidR="000A5F69">
        <w:rPr>
          <w:b/>
          <w:color w:val="1F497D"/>
          <w:lang w:eastAsia="en-US"/>
        </w:rPr>
        <w:t>p</w:t>
      </w:r>
      <w:r w:rsidR="00081E23">
        <w:rPr>
          <w:b/>
          <w:color w:val="1F497D"/>
          <w:lang w:eastAsia="en-US"/>
        </w:rPr>
        <w:t xml:space="preserve">roductos, desechos y remanentes de material </w:t>
      </w:r>
      <w:r w:rsidRPr="00DE5AD0">
        <w:rPr>
          <w:b/>
          <w:color w:val="1F497D"/>
          <w:lang w:eastAsia="en-US"/>
        </w:rPr>
        <w:t>OGM</w:t>
      </w:r>
      <w:r w:rsidR="00081E23">
        <w:rPr>
          <w:b/>
          <w:color w:val="1F497D"/>
          <w:lang w:eastAsia="en-US"/>
        </w:rPr>
        <w:t>.</w:t>
      </w:r>
    </w:p>
    <w:p w:rsidR="00DC26DF" w:rsidP="00DC26DF" w:rsidRDefault="00DC26DF" w14:paraId="3B2D499E" w14:textId="77777777">
      <w:pPr>
        <w:rPr>
          <w:color w:val="1F497D"/>
          <w:lang w:eastAsia="en-US"/>
        </w:rPr>
      </w:pPr>
    </w:p>
    <w:p w:rsidRPr="008C7666" w:rsidR="008C7666" w:rsidP="00DC26DF" w:rsidRDefault="008C7666" w14:paraId="3B2D499F" w14:textId="77777777">
      <w:pPr>
        <w:rPr>
          <w:b/>
          <w:color w:val="1F497D"/>
          <w:lang w:eastAsia="en-US"/>
        </w:rPr>
      </w:pPr>
      <w:r w:rsidRPr="008C7666">
        <w:rPr>
          <w:b/>
          <w:color w:val="1F497D"/>
          <w:lang w:eastAsia="en-US"/>
        </w:rPr>
        <w:t>Antecedentes</w:t>
      </w:r>
    </w:p>
    <w:p w:rsidR="00DC26DF" w:rsidP="00DC26DF" w:rsidRDefault="00DC26DF" w14:paraId="3B2D49A0" w14:textId="77777777">
      <w:pPr>
        <w:jc w:val="both"/>
        <w:rPr>
          <w:color w:val="1F497D"/>
          <w:lang w:eastAsia="en-US"/>
        </w:rPr>
      </w:pPr>
      <w:r>
        <w:rPr>
          <w:color w:val="1F497D"/>
          <w:lang w:eastAsia="en-US"/>
        </w:rPr>
        <w:t>El Servicio Agrícola y Ganadero</w:t>
      </w:r>
      <w:r w:rsidR="003856F5">
        <w:rPr>
          <w:color w:val="1F497D"/>
          <w:lang w:eastAsia="en-US"/>
        </w:rPr>
        <w:t>, SAG,</w:t>
      </w:r>
      <w:r w:rsidR="00D73C89">
        <w:rPr>
          <w:color w:val="1F497D"/>
          <w:lang w:eastAsia="en-US"/>
        </w:rPr>
        <w:t xml:space="preserve"> regula</w:t>
      </w:r>
      <w:r>
        <w:rPr>
          <w:color w:val="1F497D"/>
          <w:lang w:eastAsia="en-US"/>
        </w:rPr>
        <w:t xml:space="preserve"> </w:t>
      </w:r>
      <w:r w:rsidR="00087787">
        <w:rPr>
          <w:color w:val="1F497D"/>
          <w:lang w:eastAsia="en-US"/>
        </w:rPr>
        <w:t>el destino de</w:t>
      </w:r>
      <w:r>
        <w:rPr>
          <w:color w:val="1F497D"/>
          <w:lang w:eastAsia="en-US"/>
        </w:rPr>
        <w:t xml:space="preserve"> subproductos</w:t>
      </w:r>
      <w:r w:rsidR="00087787">
        <w:rPr>
          <w:color w:val="1F497D"/>
          <w:lang w:eastAsia="en-US"/>
        </w:rPr>
        <w:t>, desechos</w:t>
      </w:r>
      <w:r>
        <w:rPr>
          <w:color w:val="1F497D"/>
          <w:lang w:eastAsia="en-US"/>
        </w:rPr>
        <w:t xml:space="preserve"> y remanentes </w:t>
      </w:r>
      <w:r w:rsidR="00081E23">
        <w:rPr>
          <w:color w:val="1F497D"/>
          <w:lang w:eastAsia="en-US"/>
        </w:rPr>
        <w:t>de material OGM</w:t>
      </w:r>
      <w:r>
        <w:rPr>
          <w:color w:val="1F497D"/>
          <w:lang w:eastAsia="en-US"/>
        </w:rPr>
        <w:t xml:space="preserve"> que se originen del proceso de producción de semillas o ensay</w:t>
      </w:r>
      <w:r w:rsidR="00D73C89">
        <w:rPr>
          <w:color w:val="1F497D"/>
          <w:lang w:eastAsia="en-US"/>
        </w:rPr>
        <w:t>os OGM desarrollados en el país para su destrucción final.</w:t>
      </w:r>
    </w:p>
    <w:p w:rsidR="00EA0190" w:rsidP="00DC26DF" w:rsidRDefault="00EA0190" w14:paraId="3B2D49A1" w14:textId="77777777">
      <w:pPr>
        <w:jc w:val="both"/>
        <w:rPr>
          <w:color w:val="1F497D"/>
          <w:lang w:eastAsia="en-US"/>
        </w:rPr>
      </w:pPr>
    </w:p>
    <w:p w:rsidR="00D73C89" w:rsidP="00DC26DF" w:rsidRDefault="00D73C89" w14:paraId="3B2D49A2" w14:textId="77777777">
      <w:pPr>
        <w:jc w:val="both"/>
        <w:rPr>
          <w:color w:val="1F497D"/>
          <w:lang w:eastAsia="en-US"/>
        </w:rPr>
      </w:pPr>
      <w:r>
        <w:rPr>
          <w:color w:val="1F497D"/>
          <w:lang w:eastAsia="en-US"/>
        </w:rPr>
        <w:t>Dentro d</w:t>
      </w:r>
      <w:r w:rsidR="00797CC1">
        <w:rPr>
          <w:color w:val="1F497D"/>
          <w:lang w:eastAsia="en-US"/>
        </w:rPr>
        <w:t xml:space="preserve">e estos procesos se consideran </w:t>
      </w:r>
      <w:r>
        <w:rPr>
          <w:color w:val="1F497D"/>
          <w:lang w:eastAsia="en-US"/>
        </w:rPr>
        <w:t xml:space="preserve">las </w:t>
      </w:r>
      <w:r w:rsidR="00797CC1">
        <w:rPr>
          <w:color w:val="1F497D"/>
          <w:lang w:eastAsia="en-US"/>
        </w:rPr>
        <w:t>siguientes actividades, entre otras</w:t>
      </w:r>
      <w:r>
        <w:rPr>
          <w:color w:val="1F497D"/>
          <w:lang w:eastAsia="en-US"/>
        </w:rPr>
        <w:t>:</w:t>
      </w:r>
    </w:p>
    <w:p w:rsidR="00D73C89" w:rsidP="00D73C89" w:rsidRDefault="00D73C89" w14:paraId="3B2D49A3" w14:textId="77777777">
      <w:pPr>
        <w:pStyle w:val="Prrafodelista"/>
        <w:numPr>
          <w:ilvl w:val="0"/>
          <w:numId w:val="5"/>
        </w:numPr>
        <w:jc w:val="both"/>
        <w:rPr>
          <w:color w:val="1F497D"/>
          <w:lang w:eastAsia="en-US"/>
        </w:rPr>
      </w:pPr>
      <w:r>
        <w:rPr>
          <w:color w:val="1F497D"/>
          <w:lang w:eastAsia="en-US"/>
        </w:rPr>
        <w:t>Compostaje</w:t>
      </w:r>
      <w:r w:rsidR="006F513B">
        <w:rPr>
          <w:color w:val="1F497D"/>
          <w:lang w:eastAsia="en-US"/>
        </w:rPr>
        <w:t>.</w:t>
      </w:r>
      <w:r>
        <w:rPr>
          <w:color w:val="1F497D"/>
          <w:lang w:eastAsia="en-US"/>
        </w:rPr>
        <w:t xml:space="preserve"> </w:t>
      </w:r>
    </w:p>
    <w:p w:rsidRPr="00442D82" w:rsidR="00D73C89" w:rsidP="00D73C89" w:rsidRDefault="00D73C89" w14:paraId="3B2D49A4" w14:textId="77777777">
      <w:pPr>
        <w:pStyle w:val="Prrafodelista"/>
        <w:numPr>
          <w:ilvl w:val="0"/>
          <w:numId w:val="5"/>
        </w:numPr>
        <w:jc w:val="both"/>
        <w:rPr>
          <w:rFonts w:asciiTheme="minorHAnsi" w:hAnsiTheme="minorHAnsi" w:cstheme="minorHAnsi"/>
          <w:color w:val="1F4E79" w:themeColor="accent1" w:themeShade="80"/>
          <w:lang w:eastAsia="en-US"/>
        </w:rPr>
      </w:pPr>
      <w:r w:rsidRPr="00442D82">
        <w:rPr>
          <w:rFonts w:asciiTheme="minorHAnsi" w:hAnsiTheme="minorHAnsi" w:cstheme="minorHAnsi"/>
          <w:color w:val="1F4E79" w:themeColor="accent1" w:themeShade="80"/>
          <w:lang w:eastAsia="en-US"/>
        </w:rPr>
        <w:t>Combustión en Caldera</w:t>
      </w:r>
      <w:r w:rsidRPr="00442D82" w:rsidR="006F513B">
        <w:rPr>
          <w:rFonts w:asciiTheme="minorHAnsi" w:hAnsiTheme="minorHAnsi" w:cstheme="minorHAnsi"/>
          <w:color w:val="1F4E79" w:themeColor="accent1" w:themeShade="80"/>
          <w:lang w:eastAsia="en-US"/>
        </w:rPr>
        <w:t>.</w:t>
      </w:r>
    </w:p>
    <w:p w:rsidRPr="00442D82" w:rsidR="00D73C89" w:rsidP="00D73C89" w:rsidRDefault="00D73C89" w14:paraId="3B2D49A5" w14:textId="77777777">
      <w:pPr>
        <w:pStyle w:val="Prrafodelista"/>
        <w:numPr>
          <w:ilvl w:val="0"/>
          <w:numId w:val="5"/>
        </w:numPr>
        <w:jc w:val="both"/>
        <w:rPr>
          <w:rFonts w:asciiTheme="minorHAnsi" w:hAnsiTheme="minorHAnsi" w:cstheme="minorHAnsi"/>
          <w:color w:val="1F4E79" w:themeColor="accent1" w:themeShade="80"/>
          <w:lang w:eastAsia="en-US"/>
        </w:rPr>
      </w:pPr>
      <w:r w:rsidRPr="00442D82">
        <w:rPr>
          <w:rFonts w:asciiTheme="minorHAnsi" w:hAnsiTheme="minorHAnsi" w:cstheme="minorHAnsi"/>
          <w:color w:val="1F4E79" w:themeColor="accent1" w:themeShade="80"/>
          <w:lang w:eastAsia="en-US"/>
        </w:rPr>
        <w:t>Trituración de corontas</w:t>
      </w:r>
      <w:r w:rsidRPr="00442D82" w:rsidR="006F513B">
        <w:rPr>
          <w:rFonts w:asciiTheme="minorHAnsi" w:hAnsiTheme="minorHAnsi" w:cstheme="minorHAnsi"/>
          <w:color w:val="1F4E79" w:themeColor="accent1" w:themeShade="80"/>
          <w:lang w:eastAsia="en-US"/>
        </w:rPr>
        <w:t>.</w:t>
      </w:r>
    </w:p>
    <w:p w:rsidRPr="00442D82" w:rsidR="00D73C89" w:rsidP="00D73C89" w:rsidRDefault="00D73C89" w14:paraId="3B2D49A6" w14:textId="77777777">
      <w:pPr>
        <w:pStyle w:val="Prrafodelista"/>
        <w:numPr>
          <w:ilvl w:val="0"/>
          <w:numId w:val="5"/>
        </w:numPr>
        <w:jc w:val="both"/>
        <w:rPr>
          <w:rFonts w:asciiTheme="minorHAnsi" w:hAnsiTheme="minorHAnsi" w:cstheme="minorHAnsi"/>
          <w:color w:val="1F4E79" w:themeColor="accent1" w:themeShade="80"/>
          <w:lang w:eastAsia="en-US"/>
        </w:rPr>
      </w:pPr>
      <w:r w:rsidRPr="00442D82">
        <w:rPr>
          <w:rFonts w:asciiTheme="minorHAnsi" w:hAnsiTheme="minorHAnsi" w:cstheme="minorHAnsi"/>
          <w:color w:val="1F4E79" w:themeColor="accent1" w:themeShade="80"/>
          <w:lang w:eastAsia="en-US"/>
        </w:rPr>
        <w:t>Ensilaje y otras actividades de consumo animal.</w:t>
      </w:r>
    </w:p>
    <w:p w:rsidRPr="00442D82" w:rsidR="00D73C89" w:rsidP="00D73C89" w:rsidRDefault="00D73C89" w14:paraId="3B2D49A7" w14:textId="77777777">
      <w:pPr>
        <w:pStyle w:val="Prrafodelista"/>
        <w:numPr>
          <w:ilvl w:val="0"/>
          <w:numId w:val="5"/>
        </w:numPr>
        <w:jc w:val="both"/>
        <w:rPr>
          <w:rFonts w:asciiTheme="minorHAnsi" w:hAnsiTheme="minorHAnsi" w:cstheme="minorHAnsi"/>
          <w:color w:val="1F4E79" w:themeColor="accent1" w:themeShade="80"/>
          <w:lang w:eastAsia="en-US"/>
        </w:rPr>
      </w:pPr>
      <w:r w:rsidRPr="00442D82">
        <w:rPr>
          <w:rFonts w:asciiTheme="minorHAnsi" w:hAnsiTheme="minorHAnsi" w:cstheme="minorHAnsi"/>
          <w:color w:val="1F4E79" w:themeColor="accent1" w:themeShade="80"/>
          <w:lang w:eastAsia="en-US"/>
        </w:rPr>
        <w:t>Generación de sustrato</w:t>
      </w:r>
      <w:r w:rsidRPr="00442D82" w:rsidR="006F513B">
        <w:rPr>
          <w:rFonts w:asciiTheme="minorHAnsi" w:hAnsiTheme="minorHAnsi" w:cstheme="minorHAnsi"/>
          <w:color w:val="1F4E79" w:themeColor="accent1" w:themeShade="80"/>
          <w:lang w:eastAsia="en-US"/>
        </w:rPr>
        <w:t>.</w:t>
      </w:r>
    </w:p>
    <w:p w:rsidRPr="00442D82" w:rsidR="00DC26DF" w:rsidP="00DC26DF" w:rsidRDefault="00DC26DF" w14:paraId="3B2D49A8" w14:textId="77777777">
      <w:pPr>
        <w:jc w:val="both"/>
        <w:rPr>
          <w:rFonts w:asciiTheme="minorHAnsi" w:hAnsiTheme="minorHAnsi" w:cstheme="minorHAnsi"/>
          <w:color w:val="1F4E79" w:themeColor="accent1" w:themeShade="80"/>
          <w:lang w:eastAsia="en-US"/>
        </w:rPr>
      </w:pPr>
    </w:p>
    <w:p w:rsidRPr="00442D82" w:rsidR="00DE5AD0" w:rsidP="00DC26DF" w:rsidRDefault="008C7666" w14:paraId="3B2D49A9" w14:textId="77777777">
      <w:pPr>
        <w:rPr>
          <w:rFonts w:asciiTheme="minorHAnsi" w:hAnsiTheme="minorHAnsi" w:cstheme="minorHAnsi"/>
          <w:b/>
          <w:color w:val="1F4E79" w:themeColor="accent1" w:themeShade="80"/>
          <w:lang w:eastAsia="en-US"/>
        </w:rPr>
      </w:pPr>
      <w:r w:rsidRPr="00442D82">
        <w:rPr>
          <w:rFonts w:asciiTheme="minorHAnsi" w:hAnsiTheme="minorHAnsi" w:cstheme="minorHAnsi"/>
          <w:b/>
          <w:color w:val="1F4E79" w:themeColor="accent1" w:themeShade="80"/>
          <w:lang w:eastAsia="en-US"/>
        </w:rPr>
        <w:t>Este trámite permite obtener</w:t>
      </w:r>
    </w:p>
    <w:p w:rsidRPr="00442D82" w:rsidR="00D73C89" w:rsidP="00D73C89" w:rsidRDefault="00D73C89" w14:paraId="3B2D49AA" w14:textId="77777777">
      <w:pPr>
        <w:jc w:val="both"/>
        <w:rPr>
          <w:rFonts w:asciiTheme="minorHAnsi" w:hAnsiTheme="minorHAnsi" w:cstheme="minorHAnsi"/>
          <w:color w:val="1F4E79" w:themeColor="accent1" w:themeShade="80"/>
          <w:lang w:eastAsia="en-US"/>
        </w:rPr>
      </w:pPr>
      <w:r w:rsidRPr="00442D82">
        <w:rPr>
          <w:rFonts w:asciiTheme="minorHAnsi" w:hAnsiTheme="minorHAnsi" w:cstheme="minorHAnsi"/>
          <w:color w:val="1F4E79" w:themeColor="accent1" w:themeShade="80"/>
          <w:lang w:eastAsia="en-US"/>
        </w:rPr>
        <w:t xml:space="preserve">Una Resolución de autorización para retirar, acopiar y destruir </w:t>
      </w:r>
      <w:r w:rsidRPr="00442D82">
        <w:rPr>
          <w:rFonts w:asciiTheme="minorHAnsi" w:hAnsiTheme="minorHAnsi" w:cstheme="minorHAnsi"/>
          <w:b/>
          <w:color w:val="1F4E79" w:themeColor="accent1" w:themeShade="80"/>
          <w:lang w:eastAsia="en-US"/>
        </w:rPr>
        <w:t>sub</w:t>
      </w:r>
      <w:r w:rsidRPr="00442D82" w:rsidR="0005654C">
        <w:rPr>
          <w:rFonts w:asciiTheme="minorHAnsi" w:hAnsiTheme="minorHAnsi" w:cstheme="minorHAnsi"/>
          <w:b/>
          <w:color w:val="1F4E79" w:themeColor="accent1" w:themeShade="80"/>
          <w:lang w:eastAsia="en-US"/>
        </w:rPr>
        <w:t>p</w:t>
      </w:r>
      <w:r w:rsidRPr="00442D82">
        <w:rPr>
          <w:rFonts w:asciiTheme="minorHAnsi" w:hAnsiTheme="minorHAnsi" w:cstheme="minorHAnsi"/>
          <w:b/>
          <w:color w:val="1F4E79" w:themeColor="accent1" w:themeShade="80"/>
          <w:lang w:eastAsia="en-US"/>
        </w:rPr>
        <w:t>roductos, desechos y remanentes</w:t>
      </w:r>
      <w:r w:rsidRPr="00442D82">
        <w:rPr>
          <w:rFonts w:asciiTheme="minorHAnsi" w:hAnsiTheme="minorHAnsi" w:cstheme="minorHAnsi"/>
          <w:color w:val="1F4E79" w:themeColor="accent1" w:themeShade="80"/>
          <w:lang w:eastAsia="en-US"/>
        </w:rPr>
        <w:t xml:space="preserve"> </w:t>
      </w:r>
      <w:r w:rsidRPr="00442D82">
        <w:rPr>
          <w:rFonts w:asciiTheme="minorHAnsi" w:hAnsiTheme="minorHAnsi" w:cstheme="minorHAnsi"/>
          <w:b/>
          <w:color w:val="1F4E79" w:themeColor="accent1" w:themeShade="80"/>
          <w:lang w:eastAsia="en-US"/>
        </w:rPr>
        <w:t>OGM</w:t>
      </w:r>
      <w:r w:rsidRPr="00442D82" w:rsidR="00E83C99">
        <w:rPr>
          <w:rFonts w:asciiTheme="minorHAnsi" w:hAnsiTheme="minorHAnsi" w:cstheme="minorHAnsi"/>
          <w:color w:val="1F4E79" w:themeColor="accent1" w:themeShade="80"/>
          <w:lang w:eastAsia="en-US"/>
        </w:rPr>
        <w:t xml:space="preserve">, la cual será de carácter </w:t>
      </w:r>
      <w:r w:rsidRPr="00442D82">
        <w:rPr>
          <w:rFonts w:asciiTheme="minorHAnsi" w:hAnsiTheme="minorHAnsi" w:cstheme="minorHAnsi"/>
          <w:color w:val="1F4E79" w:themeColor="accent1" w:themeShade="80"/>
          <w:lang w:eastAsia="en-US"/>
        </w:rPr>
        <w:t>indefinido, sujeta a revisión anual por parte del SAG de jurisdicción.</w:t>
      </w:r>
    </w:p>
    <w:p w:rsidRPr="00442D82" w:rsidR="000F3DC3" w:rsidP="00DC26DF" w:rsidRDefault="000F3DC3" w14:paraId="3B2D49AB" w14:textId="77777777">
      <w:pPr>
        <w:rPr>
          <w:rFonts w:asciiTheme="minorHAnsi" w:hAnsiTheme="minorHAnsi" w:cstheme="minorHAnsi"/>
          <w:color w:val="1F4E79" w:themeColor="accent1" w:themeShade="80"/>
          <w:lang w:eastAsia="en-US"/>
        </w:rPr>
      </w:pPr>
    </w:p>
    <w:p w:rsidRPr="00442D82" w:rsidR="003628C4" w:rsidP="003628C4" w:rsidRDefault="003628C4" w14:paraId="3B2D49AC" w14:textId="77777777">
      <w:pPr>
        <w:jc w:val="both"/>
        <w:rPr>
          <w:rFonts w:asciiTheme="minorHAnsi" w:hAnsiTheme="minorHAnsi" w:cstheme="minorHAnsi"/>
          <w:b/>
          <w:color w:val="1F4E79" w:themeColor="accent1" w:themeShade="80"/>
          <w:lang w:eastAsia="en-US"/>
        </w:rPr>
      </w:pPr>
      <w:r w:rsidRPr="00442D82">
        <w:rPr>
          <w:rFonts w:asciiTheme="minorHAnsi" w:hAnsiTheme="minorHAnsi" w:cstheme="minorHAnsi"/>
          <w:b/>
          <w:color w:val="1F4E79" w:themeColor="accent1" w:themeShade="80"/>
          <w:lang w:eastAsia="en-US"/>
        </w:rPr>
        <w:t>A quien está dirigido</w:t>
      </w:r>
    </w:p>
    <w:p w:rsidRPr="00442D82" w:rsidR="003628C4" w:rsidP="003628C4" w:rsidRDefault="003628C4" w14:paraId="3B2D49AD" w14:textId="77777777">
      <w:pPr>
        <w:jc w:val="both"/>
        <w:rPr>
          <w:rFonts w:asciiTheme="minorHAnsi" w:hAnsiTheme="minorHAnsi" w:cstheme="minorHAnsi"/>
          <w:color w:val="1F4E79" w:themeColor="accent1" w:themeShade="80"/>
          <w:lang w:eastAsia="en-US"/>
        </w:rPr>
      </w:pPr>
      <w:r w:rsidRPr="00442D82">
        <w:rPr>
          <w:rFonts w:asciiTheme="minorHAnsi" w:hAnsiTheme="minorHAnsi" w:cstheme="minorHAnsi"/>
          <w:color w:val="1F4E79" w:themeColor="accent1" w:themeShade="80"/>
          <w:lang w:eastAsia="en-US"/>
        </w:rPr>
        <w:t>A personas naturales o jurídicas que pretendan</w:t>
      </w:r>
      <w:r w:rsidRPr="00442D82" w:rsidR="00D73C89">
        <w:rPr>
          <w:rFonts w:asciiTheme="minorHAnsi" w:hAnsiTheme="minorHAnsi" w:cstheme="minorHAnsi"/>
          <w:color w:val="1F4E79" w:themeColor="accent1" w:themeShade="80"/>
          <w:lang w:eastAsia="en-US"/>
        </w:rPr>
        <w:t xml:space="preserve"> retirar, acopiar y destruir</w:t>
      </w:r>
      <w:r w:rsidRPr="00442D82">
        <w:rPr>
          <w:rFonts w:asciiTheme="minorHAnsi" w:hAnsiTheme="minorHAnsi" w:cstheme="minorHAnsi"/>
          <w:color w:val="1F4E79" w:themeColor="accent1" w:themeShade="80"/>
          <w:lang w:eastAsia="en-US"/>
        </w:rPr>
        <w:t xml:space="preserve"> </w:t>
      </w:r>
      <w:r w:rsidRPr="00442D82" w:rsidR="00D73C89">
        <w:rPr>
          <w:rFonts w:asciiTheme="minorHAnsi" w:hAnsiTheme="minorHAnsi" w:cstheme="minorHAnsi"/>
          <w:b/>
          <w:color w:val="1F4E79" w:themeColor="accent1" w:themeShade="80"/>
          <w:lang w:eastAsia="en-US"/>
        </w:rPr>
        <w:t>sub</w:t>
      </w:r>
      <w:r w:rsidRPr="00442D82" w:rsidR="0005654C">
        <w:rPr>
          <w:rFonts w:asciiTheme="minorHAnsi" w:hAnsiTheme="minorHAnsi" w:cstheme="minorHAnsi"/>
          <w:b/>
          <w:color w:val="1F4E79" w:themeColor="accent1" w:themeShade="80"/>
          <w:lang w:eastAsia="en-US"/>
        </w:rPr>
        <w:t>p</w:t>
      </w:r>
      <w:r w:rsidRPr="00442D82" w:rsidR="00D73C89">
        <w:rPr>
          <w:rFonts w:asciiTheme="minorHAnsi" w:hAnsiTheme="minorHAnsi" w:cstheme="minorHAnsi"/>
          <w:b/>
          <w:color w:val="1F4E79" w:themeColor="accent1" w:themeShade="80"/>
          <w:lang w:eastAsia="en-US"/>
        </w:rPr>
        <w:t>roductos, desechos y remanentes</w:t>
      </w:r>
      <w:r w:rsidRPr="00442D82">
        <w:rPr>
          <w:rFonts w:asciiTheme="minorHAnsi" w:hAnsiTheme="minorHAnsi" w:cstheme="minorHAnsi"/>
          <w:color w:val="1F4E79" w:themeColor="accent1" w:themeShade="80"/>
          <w:lang w:eastAsia="en-US"/>
        </w:rPr>
        <w:t xml:space="preserve"> </w:t>
      </w:r>
      <w:r w:rsidRPr="00442D82">
        <w:rPr>
          <w:rFonts w:asciiTheme="minorHAnsi" w:hAnsiTheme="minorHAnsi" w:cstheme="minorHAnsi"/>
          <w:b/>
          <w:color w:val="1F4E79" w:themeColor="accent1" w:themeShade="80"/>
          <w:lang w:eastAsia="en-US"/>
        </w:rPr>
        <w:t>OGM</w:t>
      </w:r>
      <w:r w:rsidRPr="00442D82">
        <w:rPr>
          <w:rFonts w:asciiTheme="minorHAnsi" w:hAnsiTheme="minorHAnsi" w:cstheme="minorHAnsi"/>
          <w:color w:val="1F4E79" w:themeColor="accent1" w:themeShade="80"/>
          <w:lang w:eastAsia="en-US"/>
        </w:rPr>
        <w:t xml:space="preserve"> que se encuentren autorizados mediante Resolución del Servicio. </w:t>
      </w:r>
    </w:p>
    <w:p w:rsidRPr="00442D82" w:rsidR="00A21820" w:rsidP="00DC26DF" w:rsidRDefault="00A21820" w14:paraId="3B2D49AE" w14:textId="77777777">
      <w:pPr>
        <w:rPr>
          <w:rFonts w:asciiTheme="minorHAnsi" w:hAnsiTheme="minorHAnsi" w:cstheme="minorHAnsi"/>
          <w:b/>
          <w:color w:val="1F4E79" w:themeColor="accent1" w:themeShade="80"/>
          <w:lang w:eastAsia="en-US"/>
        </w:rPr>
      </w:pPr>
    </w:p>
    <w:p w:rsidRPr="00442D82" w:rsidR="00A21820" w:rsidP="00135AE8" w:rsidRDefault="008C7666" w14:paraId="3B2D49AF" w14:textId="77777777">
      <w:pPr>
        <w:rPr>
          <w:rFonts w:asciiTheme="minorHAnsi" w:hAnsiTheme="minorHAnsi" w:cstheme="minorHAnsi"/>
          <w:b/>
          <w:color w:val="1F4E79" w:themeColor="accent1" w:themeShade="80"/>
          <w:lang w:eastAsia="en-US"/>
        </w:rPr>
      </w:pPr>
      <w:r w:rsidRPr="00442D82">
        <w:rPr>
          <w:rFonts w:asciiTheme="minorHAnsi" w:hAnsiTheme="minorHAnsi" w:cstheme="minorHAnsi"/>
          <w:b/>
          <w:color w:val="1F4E79" w:themeColor="accent1" w:themeShade="80"/>
          <w:lang w:eastAsia="en-US"/>
        </w:rPr>
        <w:t>Documentación a presentar</w:t>
      </w:r>
    </w:p>
    <w:p w:rsidR="00A21820" w:rsidP="00442D82" w:rsidRDefault="00135AE8" w14:paraId="3B2D49B0" w14:textId="7DFF06BE">
      <w:pPr>
        <w:pStyle w:val="Prrafodelista"/>
        <w:numPr>
          <w:ilvl w:val="0"/>
          <w:numId w:val="1"/>
        </w:numPr>
        <w:jc w:val="both"/>
        <w:rPr>
          <w:rFonts w:asciiTheme="minorHAnsi" w:hAnsiTheme="minorHAnsi" w:cstheme="minorHAnsi"/>
          <w:color w:val="1F4E79" w:themeColor="accent1" w:themeShade="80"/>
          <w:lang w:eastAsia="en-US"/>
        </w:rPr>
      </w:pPr>
      <w:r w:rsidRPr="00442D82">
        <w:rPr>
          <w:rFonts w:asciiTheme="minorHAnsi" w:hAnsiTheme="minorHAnsi" w:cstheme="minorHAnsi"/>
          <w:color w:val="1F4E79" w:themeColor="accent1" w:themeShade="80"/>
          <w:lang w:eastAsia="en-US"/>
        </w:rPr>
        <w:t>La persona natural o jurídica debe</w:t>
      </w:r>
      <w:r w:rsidRPr="00442D82" w:rsidR="00A21820">
        <w:rPr>
          <w:rFonts w:asciiTheme="minorHAnsi" w:hAnsiTheme="minorHAnsi" w:cstheme="minorHAnsi"/>
          <w:color w:val="1F4E79" w:themeColor="accent1" w:themeShade="80"/>
          <w:lang w:eastAsia="en-US"/>
        </w:rPr>
        <w:t xml:space="preserve"> presentar una solicitud mediante carta</w:t>
      </w:r>
      <w:r w:rsidRPr="00442D82" w:rsidR="00C41DE3">
        <w:rPr>
          <w:rFonts w:asciiTheme="minorHAnsi" w:hAnsiTheme="minorHAnsi" w:cstheme="minorHAnsi"/>
          <w:color w:val="1F4E79" w:themeColor="accent1" w:themeShade="80"/>
          <w:lang w:eastAsia="en-US"/>
        </w:rPr>
        <w:t xml:space="preserve"> formal</w:t>
      </w:r>
      <w:r w:rsidRPr="00442D82" w:rsidR="00442D82">
        <w:rPr>
          <w:rFonts w:asciiTheme="minorHAnsi" w:hAnsiTheme="minorHAnsi" w:cstheme="minorHAnsi"/>
          <w:color w:val="1F4E79" w:themeColor="accent1" w:themeShade="80"/>
          <w:lang w:eastAsia="en-US"/>
        </w:rPr>
        <w:t xml:space="preserve"> a través de la oficina de partes del SAG</w:t>
      </w:r>
      <w:r w:rsidRPr="00442D82" w:rsidR="00A21820">
        <w:rPr>
          <w:rFonts w:asciiTheme="minorHAnsi" w:hAnsiTheme="minorHAnsi" w:cstheme="minorHAnsi"/>
          <w:color w:val="1F4E79" w:themeColor="accent1" w:themeShade="80"/>
          <w:lang w:eastAsia="en-US"/>
        </w:rPr>
        <w:t>, dirigida al Jefe de la D</w:t>
      </w:r>
      <w:r w:rsidRPr="00442D82" w:rsidR="00363FA1">
        <w:rPr>
          <w:rFonts w:asciiTheme="minorHAnsi" w:hAnsiTheme="minorHAnsi" w:cstheme="minorHAnsi"/>
          <w:color w:val="1F4E79" w:themeColor="accent1" w:themeShade="80"/>
          <w:lang w:eastAsia="en-US"/>
        </w:rPr>
        <w:t>ivisión de Protección Agrícola-</w:t>
      </w:r>
      <w:r w:rsidRPr="00442D82" w:rsidR="00A21820">
        <w:rPr>
          <w:rFonts w:asciiTheme="minorHAnsi" w:hAnsiTheme="minorHAnsi" w:cstheme="minorHAnsi"/>
          <w:color w:val="1F4E79" w:themeColor="accent1" w:themeShade="80"/>
          <w:lang w:eastAsia="en-US"/>
        </w:rPr>
        <w:t>Forestal</w:t>
      </w:r>
      <w:r w:rsidRPr="00442D82" w:rsidR="00363FA1">
        <w:rPr>
          <w:rFonts w:asciiTheme="minorHAnsi" w:hAnsiTheme="minorHAnsi" w:cstheme="minorHAnsi"/>
          <w:color w:val="1F4E79" w:themeColor="accent1" w:themeShade="80"/>
          <w:lang w:eastAsia="en-US"/>
        </w:rPr>
        <w:t xml:space="preserve"> y Semillas</w:t>
      </w:r>
      <w:r w:rsidRPr="00442D82" w:rsidR="00C41DE3">
        <w:rPr>
          <w:rFonts w:asciiTheme="minorHAnsi" w:hAnsiTheme="minorHAnsi" w:cstheme="minorHAnsi"/>
          <w:color w:val="1F4E79" w:themeColor="accent1" w:themeShade="80"/>
          <w:lang w:eastAsia="en-US"/>
        </w:rPr>
        <w:t xml:space="preserve"> (enviada vía correo electrónico</w:t>
      </w:r>
      <w:r w:rsidRPr="00442D82" w:rsidR="00442D82">
        <w:rPr>
          <w:rFonts w:asciiTheme="minorHAnsi" w:hAnsiTheme="minorHAnsi" w:cstheme="minorHAnsi"/>
          <w:color w:val="1F4E79" w:themeColor="accent1" w:themeShade="80"/>
          <w:lang w:eastAsia="en-US"/>
        </w:rPr>
        <w:t xml:space="preserve"> a </w:t>
      </w:r>
      <w:hyperlink w:history="1" r:id="rId8">
        <w:r w:rsidRPr="00442D82" w:rsidR="00442D82">
          <w:rPr>
            <w:rStyle w:val="Hipervnculo"/>
            <w:rFonts w:asciiTheme="minorHAnsi" w:hAnsiTheme="minorHAnsi" w:cstheme="minorHAnsi"/>
            <w:color w:val="1F4E79" w:themeColor="accent1" w:themeShade="80"/>
            <w:lang w:eastAsia="en-US"/>
          </w:rPr>
          <w:t>oficina.partes@sag.gob.cl</w:t>
        </w:r>
      </w:hyperlink>
      <w:r w:rsidRPr="00442D82" w:rsidR="00C41DE3">
        <w:rPr>
          <w:rFonts w:asciiTheme="minorHAnsi" w:hAnsiTheme="minorHAnsi" w:cstheme="minorHAnsi"/>
          <w:color w:val="1F4E79" w:themeColor="accent1" w:themeShade="80"/>
          <w:lang w:eastAsia="en-US"/>
        </w:rPr>
        <w:t>)</w:t>
      </w:r>
      <w:r w:rsidRPr="00442D82" w:rsidR="00A21820">
        <w:rPr>
          <w:rFonts w:asciiTheme="minorHAnsi" w:hAnsiTheme="minorHAnsi" w:cstheme="minorHAnsi"/>
          <w:color w:val="1F4E79" w:themeColor="accent1" w:themeShade="80"/>
          <w:lang w:eastAsia="en-US"/>
        </w:rPr>
        <w:t xml:space="preserve">, Sr. </w:t>
      </w:r>
      <w:r w:rsidR="00F12945">
        <w:rPr>
          <w:rFonts w:asciiTheme="minorHAnsi" w:hAnsiTheme="minorHAnsi" w:cstheme="minorHAnsi"/>
          <w:color w:val="1F4E79" w:themeColor="accent1" w:themeShade="80"/>
          <w:lang w:eastAsia="en-US"/>
        </w:rPr>
        <w:t>Marcos Muñoz Fuenzalida</w:t>
      </w:r>
      <w:bookmarkStart w:name="_GoBack" w:id="0"/>
      <w:bookmarkEnd w:id="0"/>
      <w:r w:rsidRPr="00442D82" w:rsidR="00A21820">
        <w:rPr>
          <w:rFonts w:asciiTheme="minorHAnsi" w:hAnsiTheme="minorHAnsi" w:cstheme="minorHAnsi"/>
          <w:color w:val="1F4E79" w:themeColor="accent1" w:themeShade="80"/>
          <w:lang w:eastAsia="en-US"/>
        </w:rPr>
        <w:t xml:space="preserve">, informando la intención de </w:t>
      </w:r>
      <w:r w:rsidRPr="00442D82" w:rsidR="009F571D">
        <w:rPr>
          <w:rFonts w:asciiTheme="minorHAnsi" w:hAnsiTheme="minorHAnsi" w:cstheme="minorHAnsi"/>
          <w:color w:val="1F4E79" w:themeColor="accent1" w:themeShade="80"/>
          <w:lang w:eastAsia="en-US"/>
        </w:rPr>
        <w:t xml:space="preserve">retirar, </w:t>
      </w:r>
      <w:r w:rsidRPr="00442D82" w:rsidR="00A21820">
        <w:rPr>
          <w:rFonts w:asciiTheme="minorHAnsi" w:hAnsiTheme="minorHAnsi" w:cstheme="minorHAnsi"/>
          <w:color w:val="1F4E79" w:themeColor="accent1" w:themeShade="80"/>
          <w:lang w:eastAsia="en-US"/>
        </w:rPr>
        <w:t xml:space="preserve">acopiar y destinar material OGM </w:t>
      </w:r>
      <w:r w:rsidRPr="00442D82" w:rsidR="00CF0086">
        <w:rPr>
          <w:rFonts w:asciiTheme="minorHAnsi" w:hAnsiTheme="minorHAnsi" w:cstheme="minorHAnsi"/>
          <w:color w:val="1F4E79" w:themeColor="accent1" w:themeShade="80"/>
          <w:lang w:eastAsia="en-US"/>
        </w:rPr>
        <w:t>a</w:t>
      </w:r>
      <w:r w:rsidRPr="00442D82" w:rsidR="00D73C89">
        <w:rPr>
          <w:rFonts w:asciiTheme="minorHAnsi" w:hAnsiTheme="minorHAnsi" w:cstheme="minorHAnsi"/>
          <w:color w:val="1F4E79" w:themeColor="accent1" w:themeShade="80"/>
          <w:lang w:eastAsia="en-US"/>
        </w:rPr>
        <w:t xml:space="preserve"> un proceso de destrucción.</w:t>
      </w:r>
    </w:p>
    <w:p w:rsidRPr="00442D82" w:rsidR="00442D82" w:rsidP="00442D82" w:rsidRDefault="00442D82" w14:paraId="3B2D49B1" w14:textId="77777777">
      <w:pPr>
        <w:pStyle w:val="Prrafodelista"/>
        <w:ind w:left="360"/>
        <w:jc w:val="both"/>
        <w:rPr>
          <w:rFonts w:asciiTheme="minorHAnsi" w:hAnsiTheme="minorHAnsi" w:cstheme="minorHAnsi"/>
          <w:color w:val="1F4E79" w:themeColor="accent1" w:themeShade="80"/>
          <w:lang w:eastAsia="en-US"/>
        </w:rPr>
      </w:pPr>
    </w:p>
    <w:p w:rsidRPr="00442D82" w:rsidR="00D73C89" w:rsidP="00D73C89" w:rsidRDefault="00D73C89" w14:paraId="3B2D49B2" w14:textId="77777777">
      <w:pPr>
        <w:pStyle w:val="Prrafodelista"/>
        <w:numPr>
          <w:ilvl w:val="0"/>
          <w:numId w:val="1"/>
        </w:numPr>
        <w:spacing w:line="240" w:lineRule="auto"/>
        <w:contextualSpacing w:val="0"/>
        <w:rPr>
          <w:rFonts w:asciiTheme="minorHAnsi" w:hAnsiTheme="minorHAnsi" w:cstheme="minorHAnsi"/>
          <w:color w:val="1F4E79" w:themeColor="accent1" w:themeShade="80"/>
          <w:lang w:eastAsia="en-US"/>
        </w:rPr>
      </w:pPr>
      <w:r w:rsidRPr="00442D82">
        <w:rPr>
          <w:rFonts w:asciiTheme="minorHAnsi" w:hAnsiTheme="minorHAnsi" w:cstheme="minorHAnsi"/>
          <w:color w:val="1F4E79" w:themeColor="accent1" w:themeShade="80"/>
          <w:lang w:eastAsia="en-US"/>
        </w:rPr>
        <w:t>La carta debe adjuntar un Plan de Manejo que especifique:</w:t>
      </w:r>
    </w:p>
    <w:p w:rsidRPr="00442D82" w:rsidR="00A16DDE" w:rsidP="00D73C89" w:rsidRDefault="00A16DDE" w14:paraId="3B2D49B3" w14:textId="77777777">
      <w:pPr>
        <w:pStyle w:val="Prrafodelista"/>
        <w:numPr>
          <w:ilvl w:val="1"/>
          <w:numId w:val="1"/>
        </w:numPr>
        <w:spacing w:line="240" w:lineRule="auto"/>
        <w:contextualSpacing w:val="0"/>
        <w:rPr>
          <w:rFonts w:asciiTheme="minorHAnsi" w:hAnsiTheme="minorHAnsi" w:cstheme="minorHAnsi"/>
          <w:color w:val="1F4E79" w:themeColor="accent1" w:themeShade="80"/>
          <w:lang w:eastAsia="en-US"/>
        </w:rPr>
      </w:pPr>
      <w:r w:rsidRPr="00442D82">
        <w:rPr>
          <w:rFonts w:asciiTheme="minorHAnsi" w:hAnsiTheme="minorHAnsi" w:cstheme="minorHAnsi"/>
          <w:color w:val="1F4E79" w:themeColor="accent1" w:themeShade="80"/>
          <w:lang w:eastAsia="en-US"/>
        </w:rPr>
        <w:t>Tipo de material OGM a recepcionar.</w:t>
      </w:r>
    </w:p>
    <w:p w:rsidRPr="00442D82" w:rsidR="00D73C89" w:rsidP="00D73C89" w:rsidRDefault="00D73C89" w14:paraId="3B2D49B4" w14:textId="77777777">
      <w:pPr>
        <w:pStyle w:val="Prrafodelista"/>
        <w:numPr>
          <w:ilvl w:val="1"/>
          <w:numId w:val="1"/>
        </w:numPr>
        <w:spacing w:line="240" w:lineRule="auto"/>
        <w:contextualSpacing w:val="0"/>
        <w:rPr>
          <w:rFonts w:asciiTheme="minorHAnsi" w:hAnsiTheme="minorHAnsi" w:cstheme="minorHAnsi"/>
          <w:color w:val="1F4E79" w:themeColor="accent1" w:themeShade="80"/>
          <w:lang w:eastAsia="en-US"/>
        </w:rPr>
      </w:pPr>
      <w:r w:rsidRPr="00442D82">
        <w:rPr>
          <w:rFonts w:asciiTheme="minorHAnsi" w:hAnsiTheme="minorHAnsi" w:cstheme="minorHAnsi"/>
          <w:color w:val="1F4E79" w:themeColor="accent1" w:themeShade="80"/>
          <w:lang w:eastAsia="en-US"/>
        </w:rPr>
        <w:t>Recepción y acopio del material OGM.</w:t>
      </w:r>
    </w:p>
    <w:p w:rsidRPr="00442D82" w:rsidR="00D73C89" w:rsidP="00D73C89" w:rsidRDefault="00D73C89" w14:paraId="3B2D49B5" w14:textId="77777777">
      <w:pPr>
        <w:pStyle w:val="Prrafodelista"/>
        <w:numPr>
          <w:ilvl w:val="1"/>
          <w:numId w:val="1"/>
        </w:numPr>
        <w:spacing w:line="240" w:lineRule="auto"/>
        <w:contextualSpacing w:val="0"/>
        <w:rPr>
          <w:rFonts w:asciiTheme="minorHAnsi" w:hAnsiTheme="minorHAnsi" w:cstheme="minorHAnsi"/>
          <w:color w:val="1F4E79" w:themeColor="accent1" w:themeShade="80"/>
          <w:lang w:eastAsia="en-US"/>
        </w:rPr>
      </w:pPr>
      <w:r w:rsidRPr="00442D82">
        <w:rPr>
          <w:rFonts w:asciiTheme="minorHAnsi" w:hAnsiTheme="minorHAnsi" w:cstheme="minorHAnsi"/>
          <w:color w:val="1F4E79" w:themeColor="accent1" w:themeShade="80"/>
          <w:lang w:eastAsia="en-US"/>
        </w:rPr>
        <w:t>Tipo de uso propuesto.</w:t>
      </w:r>
    </w:p>
    <w:p w:rsidRPr="00442D82" w:rsidR="00D73C89" w:rsidP="00D73C89" w:rsidRDefault="00D73C89" w14:paraId="3B2D49B6" w14:textId="77777777">
      <w:pPr>
        <w:pStyle w:val="Prrafodelista"/>
        <w:numPr>
          <w:ilvl w:val="1"/>
          <w:numId w:val="1"/>
        </w:numPr>
        <w:spacing w:line="240" w:lineRule="auto"/>
        <w:contextualSpacing w:val="0"/>
        <w:rPr>
          <w:rFonts w:asciiTheme="minorHAnsi" w:hAnsiTheme="minorHAnsi" w:cstheme="minorHAnsi"/>
          <w:color w:val="1F4E79" w:themeColor="accent1" w:themeShade="80"/>
          <w:lang w:eastAsia="en-US"/>
        </w:rPr>
      </w:pPr>
      <w:r w:rsidRPr="00442D82">
        <w:rPr>
          <w:rFonts w:asciiTheme="minorHAnsi" w:hAnsiTheme="minorHAnsi" w:cstheme="minorHAnsi"/>
          <w:color w:val="1F4E79" w:themeColor="accent1" w:themeShade="80"/>
          <w:lang w:eastAsia="en-US"/>
        </w:rPr>
        <w:t>Duración del proceso.</w:t>
      </w:r>
    </w:p>
    <w:p w:rsidR="00D73C89" w:rsidP="00D73C89" w:rsidRDefault="00D73C89" w14:paraId="3B2D49B7" w14:textId="77777777">
      <w:pPr>
        <w:pStyle w:val="Prrafodelista"/>
        <w:numPr>
          <w:ilvl w:val="1"/>
          <w:numId w:val="1"/>
        </w:numPr>
        <w:spacing w:line="240" w:lineRule="auto"/>
        <w:contextualSpacing w:val="0"/>
        <w:rPr>
          <w:rFonts w:asciiTheme="minorHAnsi" w:hAnsiTheme="minorHAnsi" w:cstheme="minorHAnsi"/>
          <w:color w:val="1F4E79" w:themeColor="accent1" w:themeShade="80"/>
          <w:lang w:eastAsia="en-US"/>
        </w:rPr>
      </w:pPr>
      <w:r w:rsidRPr="00442D82">
        <w:rPr>
          <w:rFonts w:asciiTheme="minorHAnsi" w:hAnsiTheme="minorHAnsi" w:cstheme="minorHAnsi"/>
          <w:color w:val="1F4E79" w:themeColor="accent1" w:themeShade="80"/>
          <w:lang w:eastAsia="en-US"/>
        </w:rPr>
        <w:t>Documentos que reflejen la trazabilidad del material OGM a recepcionar.</w:t>
      </w:r>
    </w:p>
    <w:p w:rsidRPr="00442D82" w:rsidR="00442D82" w:rsidP="00442D82" w:rsidRDefault="00442D82" w14:paraId="3B2D49B8" w14:textId="77777777">
      <w:pPr>
        <w:pStyle w:val="Prrafodelista"/>
        <w:spacing w:line="240" w:lineRule="auto"/>
        <w:ind w:left="1080"/>
        <w:contextualSpacing w:val="0"/>
        <w:rPr>
          <w:rFonts w:asciiTheme="minorHAnsi" w:hAnsiTheme="minorHAnsi" w:cstheme="minorHAnsi"/>
          <w:color w:val="1F4E79" w:themeColor="accent1" w:themeShade="80"/>
          <w:lang w:eastAsia="en-US"/>
        </w:rPr>
      </w:pPr>
    </w:p>
    <w:p w:rsidRPr="00442D82" w:rsidR="00D73C89" w:rsidP="00D73C89" w:rsidRDefault="00D73C89" w14:paraId="3B2D49B9" w14:textId="77777777">
      <w:pPr>
        <w:pStyle w:val="Prrafodelista"/>
        <w:numPr>
          <w:ilvl w:val="0"/>
          <w:numId w:val="1"/>
        </w:numPr>
        <w:jc w:val="both"/>
        <w:rPr>
          <w:rFonts w:asciiTheme="minorHAnsi" w:hAnsiTheme="minorHAnsi" w:cstheme="minorHAnsi"/>
          <w:color w:val="1F4E79" w:themeColor="accent1" w:themeShade="80"/>
          <w:lang w:eastAsia="en-US"/>
        </w:rPr>
      </w:pPr>
      <w:r w:rsidRPr="00442D82">
        <w:rPr>
          <w:rFonts w:asciiTheme="minorHAnsi" w:hAnsiTheme="minorHAnsi" w:cstheme="minorHAnsi"/>
          <w:color w:val="1F4E79" w:themeColor="accent1" w:themeShade="80"/>
          <w:lang w:eastAsia="en-US"/>
        </w:rPr>
        <w:t xml:space="preserve">Deberán adjuntar croquis con los planos de acceso del predio (con al menos 3 puntos de referencia) y del potrero de acopio que habilitarán para el </w:t>
      </w:r>
      <w:r w:rsidRPr="00442D82" w:rsidR="00617B99">
        <w:rPr>
          <w:rFonts w:asciiTheme="minorHAnsi" w:hAnsiTheme="minorHAnsi" w:cstheme="minorHAnsi"/>
          <w:color w:val="1F4E79" w:themeColor="accent1" w:themeShade="80"/>
          <w:lang w:eastAsia="en-US"/>
        </w:rPr>
        <w:t>proceso de destrucción</w:t>
      </w:r>
      <w:r w:rsidRPr="00442D82">
        <w:rPr>
          <w:rFonts w:asciiTheme="minorHAnsi" w:hAnsiTheme="minorHAnsi" w:cstheme="minorHAnsi"/>
          <w:color w:val="1F4E79" w:themeColor="accent1" w:themeShade="80"/>
          <w:lang w:eastAsia="en-US"/>
        </w:rPr>
        <w:t xml:space="preserve"> y</w:t>
      </w:r>
      <w:r w:rsidRPr="00442D82" w:rsidR="00617B99">
        <w:rPr>
          <w:rFonts w:asciiTheme="minorHAnsi" w:hAnsiTheme="minorHAnsi" w:cstheme="minorHAnsi"/>
          <w:color w:val="1F4E79" w:themeColor="accent1" w:themeShade="80"/>
          <w:lang w:eastAsia="en-US"/>
        </w:rPr>
        <w:t>/o</w:t>
      </w:r>
      <w:r w:rsidRPr="00442D82">
        <w:rPr>
          <w:rFonts w:asciiTheme="minorHAnsi" w:hAnsiTheme="minorHAnsi" w:cstheme="minorHAnsi"/>
          <w:color w:val="1F4E79" w:themeColor="accent1" w:themeShade="80"/>
          <w:lang w:eastAsia="en-US"/>
        </w:rPr>
        <w:t xml:space="preserve"> alimentación con material OGM.</w:t>
      </w:r>
      <w:r w:rsidRPr="00442D82" w:rsidR="00A16DDE">
        <w:rPr>
          <w:rFonts w:asciiTheme="minorHAnsi" w:hAnsiTheme="minorHAnsi" w:cstheme="minorHAnsi"/>
          <w:color w:val="1F4E79" w:themeColor="accent1" w:themeShade="80"/>
          <w:lang w:eastAsia="en-US"/>
        </w:rPr>
        <w:t xml:space="preserve"> Indicar las coordenadas geográficas según lo siguiente: UTM Huso </w:t>
      </w:r>
      <w:r w:rsidRPr="00442D82" w:rsidR="00C41DE3">
        <w:rPr>
          <w:rFonts w:asciiTheme="minorHAnsi" w:hAnsiTheme="minorHAnsi" w:cstheme="minorHAnsi"/>
          <w:color w:val="1F4E79" w:themeColor="accent1" w:themeShade="80"/>
          <w:lang w:eastAsia="en-US"/>
        </w:rPr>
        <w:t xml:space="preserve">(18 o </w:t>
      </w:r>
      <w:r w:rsidRPr="00442D82" w:rsidR="00A16DDE">
        <w:rPr>
          <w:rFonts w:asciiTheme="minorHAnsi" w:hAnsiTheme="minorHAnsi" w:cstheme="minorHAnsi"/>
          <w:color w:val="1F4E79" w:themeColor="accent1" w:themeShade="80"/>
          <w:lang w:eastAsia="en-US"/>
        </w:rPr>
        <w:t>19</w:t>
      </w:r>
      <w:r w:rsidRPr="00442D82" w:rsidR="00C41DE3">
        <w:rPr>
          <w:rFonts w:asciiTheme="minorHAnsi" w:hAnsiTheme="minorHAnsi" w:cstheme="minorHAnsi"/>
          <w:color w:val="1F4E79" w:themeColor="accent1" w:themeShade="80"/>
          <w:lang w:eastAsia="en-US"/>
        </w:rPr>
        <w:t>)</w:t>
      </w:r>
      <w:r w:rsidRPr="00442D82" w:rsidR="00A16DDE">
        <w:rPr>
          <w:rFonts w:asciiTheme="minorHAnsi" w:hAnsiTheme="minorHAnsi" w:cstheme="minorHAnsi"/>
          <w:color w:val="1F4E79" w:themeColor="accent1" w:themeShade="80"/>
          <w:lang w:eastAsia="en-US"/>
        </w:rPr>
        <w:t xml:space="preserve">: ESTE (X): ______. NORTE (Y): _______.    </w:t>
      </w:r>
    </w:p>
    <w:p w:rsidRPr="00D711A2" w:rsidR="00442D82" w:rsidP="00D711A2" w:rsidRDefault="00D73C89" w14:paraId="3B2D49BA" w14:textId="77777777">
      <w:pPr>
        <w:pStyle w:val="Prrafodelista"/>
        <w:numPr>
          <w:ilvl w:val="0"/>
          <w:numId w:val="1"/>
        </w:numPr>
        <w:jc w:val="both"/>
        <w:rPr>
          <w:rFonts w:asciiTheme="minorHAnsi" w:hAnsiTheme="minorHAnsi" w:cstheme="minorHAnsi"/>
          <w:color w:val="1F4E79" w:themeColor="accent1" w:themeShade="80"/>
          <w:lang w:eastAsia="en-US"/>
        </w:rPr>
      </w:pPr>
      <w:r w:rsidRPr="00442D82">
        <w:rPr>
          <w:rFonts w:asciiTheme="minorHAnsi" w:hAnsiTheme="minorHAnsi" w:cstheme="minorHAnsi"/>
          <w:color w:val="1F4E79" w:themeColor="accent1" w:themeShade="80"/>
          <w:lang w:eastAsia="en-US"/>
        </w:rPr>
        <w:lastRenderedPageBreak/>
        <w:t>La Oficina SAG de jurisdicción hará una inspección de las instalaciones a fin de elaborar un informe técnico que respalde lo que indica la solicitud presentada por el/la usuario/a.</w:t>
      </w:r>
      <w:r w:rsidR="00D711A2">
        <w:rPr>
          <w:rFonts w:asciiTheme="minorHAnsi" w:hAnsiTheme="minorHAnsi" w:cstheme="minorHAnsi"/>
          <w:color w:val="1F4E79" w:themeColor="accent1" w:themeShade="80"/>
          <w:lang w:eastAsia="en-US"/>
        </w:rPr>
        <w:t xml:space="preserve"> </w:t>
      </w:r>
      <w:r w:rsidRPr="00D711A2" w:rsidR="00442D82">
        <w:rPr>
          <w:rFonts w:eastAsia="Times New Roman" w:asciiTheme="minorHAnsi" w:hAnsiTheme="minorHAnsi" w:cstheme="minorHAnsi"/>
          <w:color w:val="1F4E79" w:themeColor="accent1" w:themeShade="80"/>
          <w:bdr w:val="none" w:color="auto" w:sz="0" w:space="0" w:frame="1"/>
        </w:rPr>
        <w:t>En la inspección se verificará si: </w:t>
      </w:r>
    </w:p>
    <w:p w:rsidRPr="00D711A2" w:rsidR="00D711A2" w:rsidP="00D711A2" w:rsidRDefault="00D711A2" w14:paraId="3B2D49BB" w14:textId="77777777">
      <w:pPr>
        <w:pStyle w:val="Prrafodelista"/>
        <w:ind w:left="360"/>
        <w:jc w:val="both"/>
        <w:rPr>
          <w:rFonts w:asciiTheme="minorHAnsi" w:hAnsiTheme="minorHAnsi" w:cstheme="minorHAnsi"/>
          <w:color w:val="1F4E79" w:themeColor="accent1" w:themeShade="80"/>
          <w:lang w:eastAsia="en-US"/>
        </w:rPr>
      </w:pPr>
    </w:p>
    <w:p w:rsidRPr="00442D82" w:rsidR="00442D82" w:rsidP="00442D82" w:rsidRDefault="00442D82" w14:paraId="3B2D49BC" w14:textId="77777777">
      <w:pPr>
        <w:pStyle w:val="Prrafodelista"/>
        <w:numPr>
          <w:ilvl w:val="0"/>
          <w:numId w:val="8"/>
        </w:numPr>
        <w:shd w:val="clear" w:color="auto" w:fill="FFFFFF"/>
        <w:textAlignment w:val="baseline"/>
        <w:rPr>
          <w:rFonts w:eastAsia="Times New Roman" w:asciiTheme="minorHAnsi" w:hAnsiTheme="minorHAnsi" w:cstheme="minorHAnsi"/>
          <w:color w:val="1F4E79" w:themeColor="accent1" w:themeShade="80"/>
        </w:rPr>
      </w:pPr>
      <w:r w:rsidRPr="00442D82">
        <w:rPr>
          <w:rFonts w:eastAsia="Times New Roman" w:asciiTheme="minorHAnsi" w:hAnsiTheme="minorHAnsi" w:cstheme="minorHAnsi"/>
          <w:color w:val="1F4E79" w:themeColor="accent1" w:themeShade="80"/>
          <w:bdr w:val="none" w:color="auto" w:sz="0" w:space="0" w:frame="1"/>
        </w:rPr>
        <w:t>Si se cuenta con las autorizaciones vigentes de otros organismos oficiales (ej. medio ambiente, salud u otro)</w:t>
      </w:r>
    </w:p>
    <w:p w:rsidRPr="00442D82" w:rsidR="00442D82" w:rsidP="00442D82" w:rsidRDefault="00442D82" w14:paraId="3B2D49BD" w14:textId="77777777">
      <w:pPr>
        <w:numPr>
          <w:ilvl w:val="0"/>
          <w:numId w:val="8"/>
        </w:numPr>
        <w:shd w:val="clear" w:color="auto" w:fill="FFFFFF"/>
        <w:textAlignment w:val="baseline"/>
        <w:rPr>
          <w:rFonts w:eastAsia="Times New Roman" w:asciiTheme="minorHAnsi" w:hAnsiTheme="minorHAnsi" w:cstheme="minorHAnsi"/>
          <w:color w:val="1F4E79" w:themeColor="accent1" w:themeShade="80"/>
          <w:bdr w:val="none" w:color="auto" w:sz="0" w:space="0" w:frame="1"/>
        </w:rPr>
      </w:pPr>
      <w:r w:rsidRPr="00442D82">
        <w:rPr>
          <w:rFonts w:eastAsia="Times New Roman" w:asciiTheme="minorHAnsi" w:hAnsiTheme="minorHAnsi" w:cstheme="minorHAnsi"/>
          <w:color w:val="1F4E79" w:themeColor="accent1" w:themeShade="80"/>
          <w:bdr w:val="none" w:color="auto" w:sz="0" w:space="0" w:frame="1"/>
        </w:rPr>
        <w:t>Libro de Registro de ingresos y egresos. Se debe mantener un correcto registro del material recibido a través de libro y archivo digital que contenga:</w:t>
      </w:r>
    </w:p>
    <w:p w:rsidRPr="00442D82" w:rsidR="00442D82" w:rsidP="00442D82" w:rsidRDefault="00442D82" w14:paraId="3B2D49BE" w14:textId="77777777">
      <w:pPr>
        <w:pStyle w:val="Prrafodelista"/>
        <w:numPr>
          <w:ilvl w:val="1"/>
          <w:numId w:val="8"/>
        </w:numPr>
        <w:shd w:val="clear" w:color="auto" w:fill="FFFFFF"/>
        <w:textAlignment w:val="baseline"/>
        <w:rPr>
          <w:rFonts w:eastAsia="Times New Roman" w:asciiTheme="minorHAnsi" w:hAnsiTheme="minorHAnsi" w:cstheme="minorHAnsi"/>
          <w:color w:val="1F4E79" w:themeColor="accent1" w:themeShade="80"/>
          <w:bdr w:val="none" w:color="auto" w:sz="0" w:space="0" w:frame="1"/>
        </w:rPr>
      </w:pPr>
      <w:r w:rsidRPr="00442D82">
        <w:rPr>
          <w:rFonts w:eastAsia="Times New Roman" w:asciiTheme="minorHAnsi" w:hAnsiTheme="minorHAnsi" w:cstheme="minorHAnsi"/>
          <w:color w:val="1F4E79" w:themeColor="accent1" w:themeShade="80"/>
          <w:bdr w:val="none" w:color="auto" w:sz="0" w:space="0" w:frame="1"/>
        </w:rPr>
        <w:t>Nº guía de despacho fechada</w:t>
      </w:r>
    </w:p>
    <w:p w:rsidRPr="00442D82" w:rsidR="00442D82" w:rsidP="00442D82" w:rsidRDefault="00442D82" w14:paraId="3B2D49BF" w14:textId="77777777">
      <w:pPr>
        <w:pStyle w:val="Prrafodelista"/>
        <w:numPr>
          <w:ilvl w:val="1"/>
          <w:numId w:val="8"/>
        </w:numPr>
        <w:shd w:val="clear" w:color="auto" w:fill="FFFFFF"/>
        <w:textAlignment w:val="baseline"/>
        <w:rPr>
          <w:rFonts w:eastAsia="Times New Roman" w:asciiTheme="minorHAnsi" w:hAnsiTheme="minorHAnsi" w:cstheme="minorHAnsi"/>
          <w:color w:val="1F4E79" w:themeColor="accent1" w:themeShade="80"/>
          <w:bdr w:val="none" w:color="auto" w:sz="0" w:space="0" w:frame="1"/>
        </w:rPr>
      </w:pPr>
      <w:r w:rsidRPr="00442D82">
        <w:rPr>
          <w:rFonts w:eastAsia="Times New Roman" w:asciiTheme="minorHAnsi" w:hAnsiTheme="minorHAnsi" w:cstheme="minorHAnsi"/>
          <w:color w:val="1F4E79" w:themeColor="accent1" w:themeShade="80"/>
          <w:bdr w:val="none" w:color="auto" w:sz="0" w:space="0" w:frame="1"/>
        </w:rPr>
        <w:t>Procedencia: Nombre del predio/Planta, comuna, sector, Región, etc.</w:t>
      </w:r>
    </w:p>
    <w:p w:rsidRPr="00442D82" w:rsidR="00442D82" w:rsidP="00442D82" w:rsidRDefault="00442D82" w14:paraId="3B2D49C0" w14:textId="77777777">
      <w:pPr>
        <w:pStyle w:val="Prrafodelista"/>
        <w:numPr>
          <w:ilvl w:val="1"/>
          <w:numId w:val="8"/>
        </w:numPr>
        <w:shd w:val="clear" w:color="auto" w:fill="FFFFFF"/>
        <w:textAlignment w:val="baseline"/>
        <w:rPr>
          <w:rFonts w:eastAsia="Times New Roman" w:asciiTheme="minorHAnsi" w:hAnsiTheme="minorHAnsi" w:cstheme="minorHAnsi"/>
          <w:color w:val="1F4E79" w:themeColor="accent1" w:themeShade="80"/>
          <w:bdr w:val="none" w:color="auto" w:sz="0" w:space="0" w:frame="1"/>
        </w:rPr>
      </w:pPr>
      <w:r w:rsidRPr="00442D82">
        <w:rPr>
          <w:rFonts w:eastAsia="Times New Roman" w:asciiTheme="minorHAnsi" w:hAnsiTheme="minorHAnsi" w:cstheme="minorHAnsi"/>
          <w:color w:val="1F4E79" w:themeColor="accent1" w:themeShade="80"/>
          <w:bdr w:val="none" w:color="auto" w:sz="0" w:space="0" w:frame="1"/>
        </w:rPr>
        <w:t>condición de CRD/SRD del material</w:t>
      </w:r>
    </w:p>
    <w:p w:rsidRPr="00442D82" w:rsidR="00442D82" w:rsidP="00442D82" w:rsidRDefault="00442D82" w14:paraId="3B2D49C1" w14:textId="77777777">
      <w:pPr>
        <w:pStyle w:val="Prrafodelista"/>
        <w:numPr>
          <w:ilvl w:val="1"/>
          <w:numId w:val="8"/>
        </w:numPr>
        <w:shd w:val="clear" w:color="auto" w:fill="FFFFFF"/>
        <w:textAlignment w:val="baseline"/>
        <w:rPr>
          <w:rFonts w:eastAsia="Times New Roman" w:asciiTheme="minorHAnsi" w:hAnsiTheme="minorHAnsi" w:cstheme="minorHAnsi"/>
          <w:color w:val="1F4E79" w:themeColor="accent1" w:themeShade="80"/>
        </w:rPr>
      </w:pPr>
      <w:r w:rsidRPr="00442D82">
        <w:rPr>
          <w:rFonts w:eastAsia="Times New Roman" w:asciiTheme="minorHAnsi" w:hAnsiTheme="minorHAnsi" w:cstheme="minorHAnsi"/>
          <w:color w:val="1F4E79" w:themeColor="accent1" w:themeShade="80"/>
          <w:bdr w:val="none" w:color="auto" w:sz="0" w:space="0" w:frame="1"/>
        </w:rPr>
        <w:t>Cantidad del material a destruir</w:t>
      </w:r>
    </w:p>
    <w:p w:rsidRPr="00442D82" w:rsidR="00442D82" w:rsidP="00442D82" w:rsidRDefault="00442D82" w14:paraId="3B2D49C2" w14:textId="77777777">
      <w:pPr>
        <w:numPr>
          <w:ilvl w:val="0"/>
          <w:numId w:val="8"/>
        </w:numPr>
        <w:shd w:val="clear" w:color="auto" w:fill="FFFFFF"/>
        <w:textAlignment w:val="baseline"/>
        <w:rPr>
          <w:rFonts w:eastAsia="Times New Roman" w:asciiTheme="minorHAnsi" w:hAnsiTheme="minorHAnsi" w:cstheme="minorHAnsi"/>
          <w:color w:val="1F4E79" w:themeColor="accent1" w:themeShade="80"/>
        </w:rPr>
      </w:pPr>
      <w:r w:rsidRPr="00442D82">
        <w:rPr>
          <w:rFonts w:eastAsia="Times New Roman" w:asciiTheme="minorHAnsi" w:hAnsiTheme="minorHAnsi" w:cstheme="minorHAnsi"/>
          <w:color w:val="1F4E79" w:themeColor="accent1" w:themeShade="80"/>
          <w:bdr w:val="none" w:color="auto" w:sz="0" w:space="0" w:frame="1"/>
        </w:rPr>
        <w:t>Acceso restringido al área</w:t>
      </w:r>
    </w:p>
    <w:p w:rsidRPr="00442D82" w:rsidR="00442D82" w:rsidP="00442D82" w:rsidRDefault="00442D82" w14:paraId="3B2D49C3" w14:textId="77777777">
      <w:pPr>
        <w:numPr>
          <w:ilvl w:val="0"/>
          <w:numId w:val="8"/>
        </w:numPr>
        <w:shd w:val="clear" w:color="auto" w:fill="FFFFFF"/>
        <w:textAlignment w:val="baseline"/>
        <w:rPr>
          <w:rFonts w:eastAsia="Times New Roman" w:asciiTheme="minorHAnsi" w:hAnsiTheme="minorHAnsi" w:cstheme="minorHAnsi"/>
          <w:color w:val="1F4E79" w:themeColor="accent1" w:themeShade="80"/>
        </w:rPr>
      </w:pPr>
      <w:r w:rsidRPr="00442D82">
        <w:rPr>
          <w:rFonts w:eastAsia="Times New Roman" w:asciiTheme="minorHAnsi" w:hAnsiTheme="minorHAnsi" w:cstheme="minorHAnsi"/>
          <w:color w:val="1F4E79" w:themeColor="accent1" w:themeShade="80"/>
          <w:bdr w:val="none" w:color="auto" w:sz="0" w:space="0" w:frame="1"/>
        </w:rPr>
        <w:t>Sí el traslado evita perdidas del material.</w:t>
      </w:r>
    </w:p>
    <w:p w:rsidRPr="00442D82" w:rsidR="00442D82" w:rsidP="00442D82" w:rsidRDefault="00442D82" w14:paraId="3B2D49C4" w14:textId="77777777">
      <w:pPr>
        <w:numPr>
          <w:ilvl w:val="0"/>
          <w:numId w:val="8"/>
        </w:numPr>
        <w:shd w:val="clear" w:color="auto" w:fill="FFFFFF"/>
        <w:textAlignment w:val="baseline"/>
        <w:rPr>
          <w:rFonts w:eastAsia="Times New Roman" w:asciiTheme="minorHAnsi" w:hAnsiTheme="minorHAnsi" w:cstheme="minorHAnsi"/>
          <w:color w:val="1F4E79" w:themeColor="accent1" w:themeShade="80"/>
        </w:rPr>
      </w:pPr>
      <w:r w:rsidRPr="00442D82">
        <w:rPr>
          <w:rFonts w:eastAsia="Times New Roman" w:asciiTheme="minorHAnsi" w:hAnsiTheme="minorHAnsi" w:cstheme="minorHAnsi"/>
          <w:color w:val="1F4E79" w:themeColor="accent1" w:themeShade="80"/>
          <w:bdr w:val="none" w:color="auto" w:sz="0" w:space="0" w:frame="1"/>
        </w:rPr>
        <w:t>Identificación de pilas con material OGM</w:t>
      </w:r>
    </w:p>
    <w:p w:rsidRPr="00442D82" w:rsidR="00442D82" w:rsidP="00442D82" w:rsidRDefault="00442D82" w14:paraId="3B2D49C5" w14:textId="77777777">
      <w:pPr>
        <w:numPr>
          <w:ilvl w:val="0"/>
          <w:numId w:val="8"/>
        </w:numPr>
        <w:shd w:val="clear" w:color="auto" w:fill="FFFFFF"/>
        <w:textAlignment w:val="baseline"/>
        <w:rPr>
          <w:rFonts w:eastAsia="Times New Roman" w:asciiTheme="minorHAnsi" w:hAnsiTheme="minorHAnsi" w:cstheme="minorHAnsi"/>
          <w:color w:val="1F4E79" w:themeColor="accent1" w:themeShade="80"/>
        </w:rPr>
      </w:pPr>
      <w:r w:rsidRPr="00442D82">
        <w:rPr>
          <w:rFonts w:eastAsia="Times New Roman" w:asciiTheme="minorHAnsi" w:hAnsiTheme="minorHAnsi" w:cstheme="minorHAnsi"/>
          <w:color w:val="1F4E79" w:themeColor="accent1" w:themeShade="80"/>
          <w:bdr w:val="none" w:color="auto" w:sz="0" w:space="0" w:frame="1"/>
        </w:rPr>
        <w:t>Cierre perimetral.</w:t>
      </w:r>
    </w:p>
    <w:p w:rsidRPr="00442D82" w:rsidR="00442D82" w:rsidP="00442D82" w:rsidRDefault="00442D82" w14:paraId="3B2D49C6" w14:textId="77777777">
      <w:pPr>
        <w:numPr>
          <w:ilvl w:val="0"/>
          <w:numId w:val="8"/>
        </w:numPr>
        <w:shd w:val="clear" w:color="auto" w:fill="FFFFFF"/>
        <w:textAlignment w:val="baseline"/>
        <w:rPr>
          <w:rFonts w:eastAsia="Times New Roman" w:asciiTheme="minorHAnsi" w:hAnsiTheme="minorHAnsi" w:cstheme="minorHAnsi"/>
          <w:color w:val="1F4E79" w:themeColor="accent1" w:themeShade="80"/>
        </w:rPr>
      </w:pPr>
      <w:r w:rsidRPr="00442D82">
        <w:rPr>
          <w:rFonts w:eastAsia="Times New Roman" w:asciiTheme="minorHAnsi" w:hAnsiTheme="minorHAnsi" w:cstheme="minorHAnsi"/>
          <w:color w:val="1F4E79" w:themeColor="accent1" w:themeShade="80"/>
          <w:bdr w:val="none" w:color="auto" w:sz="0" w:space="0" w:frame="1"/>
        </w:rPr>
        <w:t>Control de plantas voluntarias cuando corresponda</w:t>
      </w:r>
    </w:p>
    <w:p w:rsidRPr="00442D82" w:rsidR="00442D82" w:rsidP="00442D82" w:rsidRDefault="00442D82" w14:paraId="3B2D49C7" w14:textId="77777777">
      <w:pPr>
        <w:shd w:val="clear" w:color="auto" w:fill="FFFFFF"/>
        <w:ind w:left="720"/>
        <w:textAlignment w:val="baseline"/>
        <w:rPr>
          <w:rFonts w:eastAsia="Times New Roman" w:asciiTheme="minorHAnsi" w:hAnsiTheme="minorHAnsi" w:cstheme="minorHAnsi"/>
          <w:color w:val="1F4E79" w:themeColor="accent1" w:themeShade="80"/>
        </w:rPr>
      </w:pPr>
    </w:p>
    <w:p w:rsidRPr="00442D82" w:rsidR="00442D82" w:rsidP="00442D82" w:rsidRDefault="00442D82" w14:paraId="3B2D49C8" w14:textId="77777777">
      <w:pPr>
        <w:shd w:val="clear" w:color="auto" w:fill="FFFFFF"/>
        <w:textAlignment w:val="baseline"/>
        <w:rPr>
          <w:rFonts w:eastAsia="Times New Roman" w:asciiTheme="minorHAnsi" w:hAnsiTheme="minorHAnsi" w:cstheme="minorHAnsi"/>
          <w:color w:val="1F4E79" w:themeColor="accent1" w:themeShade="80"/>
          <w:bdr w:val="none" w:color="auto" w:sz="0" w:space="0" w:frame="1"/>
        </w:rPr>
      </w:pPr>
      <w:r w:rsidRPr="00442D82">
        <w:rPr>
          <w:rFonts w:eastAsia="Times New Roman" w:asciiTheme="minorHAnsi" w:hAnsiTheme="minorHAnsi" w:cstheme="minorHAnsi"/>
          <w:color w:val="1F4E79" w:themeColor="accent1" w:themeShade="80"/>
          <w:bdr w:val="none" w:color="auto" w:sz="0" w:space="0" w:frame="1"/>
        </w:rPr>
        <w:t>Al momento de la renovación, se deberá cumplir con lo siguiente:</w:t>
      </w:r>
    </w:p>
    <w:p w:rsidRPr="00442D82" w:rsidR="00442D82" w:rsidP="00442D82" w:rsidRDefault="00442D82" w14:paraId="3B2D49C9" w14:textId="77777777">
      <w:pPr>
        <w:shd w:val="clear" w:color="auto" w:fill="FFFFFF"/>
        <w:textAlignment w:val="baseline"/>
        <w:rPr>
          <w:rFonts w:eastAsia="Times New Roman" w:asciiTheme="minorHAnsi" w:hAnsiTheme="minorHAnsi" w:cstheme="minorHAnsi"/>
          <w:color w:val="1F4E79" w:themeColor="accent1" w:themeShade="80"/>
        </w:rPr>
      </w:pPr>
    </w:p>
    <w:p w:rsidRPr="00442D82" w:rsidR="00442D82" w:rsidP="006707C0" w:rsidRDefault="00442D82" w14:paraId="3B2D49CA" w14:textId="77777777">
      <w:pPr>
        <w:numPr>
          <w:ilvl w:val="0"/>
          <w:numId w:val="9"/>
        </w:numPr>
        <w:shd w:val="clear" w:color="auto" w:fill="FFFFFF"/>
        <w:jc w:val="both"/>
        <w:textAlignment w:val="baseline"/>
        <w:rPr>
          <w:rFonts w:eastAsia="Times New Roman" w:asciiTheme="minorHAnsi" w:hAnsiTheme="minorHAnsi" w:cstheme="minorHAnsi"/>
          <w:color w:val="1F4E79" w:themeColor="accent1" w:themeShade="80"/>
        </w:rPr>
      </w:pPr>
      <w:r w:rsidRPr="00442D82">
        <w:rPr>
          <w:rFonts w:eastAsia="Times New Roman" w:asciiTheme="minorHAnsi" w:hAnsiTheme="minorHAnsi" w:cstheme="minorHAnsi"/>
          <w:color w:val="1F4E79" w:themeColor="accent1" w:themeShade="80"/>
          <w:bdr w:val="none" w:color="auto" w:sz="0" w:space="0" w:frame="1"/>
        </w:rPr>
        <w:t>La empresa deberá entregar en forma anual, un informe dirigido a la oficina SAG el inicio y término de la recepción de material OGM, volúmenes retirados de plantas seleccionadoras, volúmenes de material OGM ingresados a los lugares de acopio dentro del lugar de destrucción</w:t>
      </w:r>
      <w:r w:rsidR="006707C0">
        <w:rPr>
          <w:rFonts w:eastAsia="Times New Roman" w:asciiTheme="minorHAnsi" w:hAnsiTheme="minorHAnsi" w:cstheme="minorHAnsi"/>
          <w:color w:val="1F4E79" w:themeColor="accent1" w:themeShade="80"/>
          <w:bdr w:val="none" w:color="auto" w:sz="0" w:space="0" w:frame="1"/>
        </w:rPr>
        <w:t>.</w:t>
      </w:r>
    </w:p>
    <w:p w:rsidRPr="00442D82" w:rsidR="00442D82" w:rsidP="00442D82" w:rsidRDefault="00442D82" w14:paraId="3B2D49CB" w14:textId="77777777">
      <w:pPr>
        <w:numPr>
          <w:ilvl w:val="0"/>
          <w:numId w:val="9"/>
        </w:numPr>
        <w:shd w:val="clear" w:color="auto" w:fill="FFFFFF"/>
        <w:textAlignment w:val="baseline"/>
        <w:rPr>
          <w:rFonts w:eastAsia="Times New Roman" w:asciiTheme="minorHAnsi" w:hAnsiTheme="minorHAnsi" w:cstheme="minorHAnsi"/>
          <w:color w:val="1F4E79" w:themeColor="accent1" w:themeShade="80"/>
        </w:rPr>
      </w:pPr>
      <w:r w:rsidRPr="00442D82">
        <w:rPr>
          <w:rFonts w:eastAsia="Times New Roman" w:asciiTheme="minorHAnsi" w:hAnsiTheme="minorHAnsi" w:cstheme="minorHAnsi"/>
          <w:color w:val="1F4E79" w:themeColor="accent1" w:themeShade="80"/>
          <w:bdr w:val="none" w:color="auto" w:sz="0" w:space="0" w:frame="1"/>
        </w:rPr>
        <w:t>Respaldo de toda la información para las inspecciones del SAG.</w:t>
      </w:r>
    </w:p>
    <w:p w:rsidRPr="00442D82" w:rsidR="00442D82" w:rsidP="00442D82" w:rsidRDefault="00442D82" w14:paraId="3B2D49CC" w14:textId="77777777">
      <w:pPr>
        <w:pStyle w:val="Prrafodelista"/>
        <w:jc w:val="both"/>
        <w:rPr>
          <w:rFonts w:asciiTheme="minorHAnsi" w:hAnsiTheme="minorHAnsi" w:cstheme="minorHAnsi"/>
          <w:color w:val="1F4E79" w:themeColor="accent1" w:themeShade="80"/>
          <w:lang w:eastAsia="en-US"/>
        </w:rPr>
      </w:pPr>
    </w:p>
    <w:p w:rsidRPr="00442D82" w:rsidR="00A21820" w:rsidP="00A21820" w:rsidRDefault="00D73C89" w14:paraId="3B2D49CD" w14:textId="77777777">
      <w:pPr>
        <w:pStyle w:val="Prrafodelista"/>
        <w:numPr>
          <w:ilvl w:val="0"/>
          <w:numId w:val="1"/>
        </w:numPr>
        <w:jc w:val="both"/>
        <w:rPr>
          <w:rFonts w:asciiTheme="minorHAnsi" w:hAnsiTheme="minorHAnsi" w:cstheme="minorHAnsi"/>
          <w:color w:val="1F4E79" w:themeColor="accent1" w:themeShade="80"/>
          <w:lang w:eastAsia="en-US"/>
        </w:rPr>
      </w:pPr>
      <w:r w:rsidRPr="00442D82">
        <w:rPr>
          <w:rFonts w:asciiTheme="minorHAnsi" w:hAnsiTheme="minorHAnsi" w:cstheme="minorHAnsi"/>
          <w:color w:val="1F4E79" w:themeColor="accent1" w:themeShade="80"/>
          <w:lang w:eastAsia="en-US"/>
        </w:rPr>
        <w:t>En el caso de los procesos asociados al consumo animal, l</w:t>
      </w:r>
      <w:r w:rsidRPr="00442D82" w:rsidR="00FF1D0E">
        <w:rPr>
          <w:rFonts w:asciiTheme="minorHAnsi" w:hAnsiTheme="minorHAnsi" w:cstheme="minorHAnsi"/>
          <w:color w:val="1F4E79" w:themeColor="accent1" w:themeShade="80"/>
          <w:lang w:eastAsia="en-US"/>
        </w:rPr>
        <w:t>a carta debe</w:t>
      </w:r>
      <w:r w:rsidRPr="00442D82" w:rsidR="00A21820">
        <w:rPr>
          <w:rFonts w:asciiTheme="minorHAnsi" w:hAnsiTheme="minorHAnsi" w:cstheme="minorHAnsi"/>
          <w:color w:val="1F4E79" w:themeColor="accent1" w:themeShade="80"/>
          <w:lang w:eastAsia="en-US"/>
        </w:rPr>
        <w:t xml:space="preserve"> indicar que son los responsables de los desechos, remanentes y subproductos y que serán alimentados con material OGM únicamente animales de su propiedad</w:t>
      </w:r>
      <w:r w:rsidRPr="00442D82" w:rsidR="00BD0AB7">
        <w:rPr>
          <w:rFonts w:asciiTheme="minorHAnsi" w:hAnsiTheme="minorHAnsi" w:cstheme="minorHAnsi"/>
          <w:color w:val="1F4E79" w:themeColor="accent1" w:themeShade="80"/>
          <w:lang w:eastAsia="en-US"/>
        </w:rPr>
        <w:t xml:space="preserve"> (no se entregará material OGM a terceros)</w:t>
      </w:r>
      <w:r w:rsidRPr="00442D82" w:rsidR="00A21820">
        <w:rPr>
          <w:rFonts w:asciiTheme="minorHAnsi" w:hAnsiTheme="minorHAnsi" w:cstheme="minorHAnsi"/>
          <w:color w:val="1F4E79" w:themeColor="accent1" w:themeShade="80"/>
          <w:lang w:eastAsia="en-US"/>
        </w:rPr>
        <w:t>, solamente dentro del predio indicado en la solicitud.</w:t>
      </w:r>
    </w:p>
    <w:p w:rsidRPr="00442D82" w:rsidR="00D73C89" w:rsidP="00A21820" w:rsidRDefault="00D73C89" w14:paraId="3B2D49CE" w14:textId="77777777">
      <w:pPr>
        <w:pStyle w:val="Prrafodelista"/>
        <w:numPr>
          <w:ilvl w:val="0"/>
          <w:numId w:val="1"/>
        </w:numPr>
        <w:jc w:val="both"/>
        <w:rPr>
          <w:rFonts w:asciiTheme="minorHAnsi" w:hAnsiTheme="minorHAnsi" w:cstheme="minorHAnsi"/>
          <w:b/>
          <w:color w:val="1F4E79" w:themeColor="accent1" w:themeShade="80"/>
          <w:lang w:eastAsia="en-US"/>
        </w:rPr>
      </w:pPr>
      <w:r w:rsidRPr="00442D82">
        <w:rPr>
          <w:rFonts w:asciiTheme="minorHAnsi" w:hAnsiTheme="minorHAnsi" w:cstheme="minorHAnsi"/>
          <w:b/>
          <w:color w:val="1F4E79" w:themeColor="accent1" w:themeShade="80"/>
          <w:lang w:eastAsia="en-US"/>
        </w:rPr>
        <w:t>Copia de las autorizaciones emitidas por el SAG u otro Servicio, mediante la cual se aprueba el proceso, instalaciones y operación.</w:t>
      </w:r>
      <w:r w:rsidRPr="00442D82" w:rsidR="00617165">
        <w:rPr>
          <w:rFonts w:asciiTheme="minorHAnsi" w:hAnsiTheme="minorHAnsi" w:cstheme="minorHAnsi"/>
          <w:b/>
          <w:color w:val="1F4E79" w:themeColor="accent1" w:themeShade="80"/>
          <w:lang w:eastAsia="en-US"/>
        </w:rPr>
        <w:t xml:space="preserve"> </w:t>
      </w:r>
    </w:p>
    <w:p w:rsidR="00AF27DB" w:rsidP="00AF27DB" w:rsidRDefault="00AF27DB" w14:paraId="3B2D49CF" w14:textId="77777777">
      <w:pPr>
        <w:jc w:val="both"/>
        <w:rPr>
          <w:color w:val="1F497D"/>
          <w:lang w:eastAsia="en-US"/>
        </w:rPr>
      </w:pPr>
    </w:p>
    <w:p w:rsidRPr="00A21820" w:rsidR="00A21820" w:rsidP="00A21820" w:rsidRDefault="00A21820" w14:paraId="3B2D49D0" w14:textId="77777777">
      <w:pPr>
        <w:jc w:val="both"/>
        <w:rPr>
          <w:color w:val="1F497D"/>
          <w:lang w:eastAsia="en-US"/>
        </w:rPr>
      </w:pPr>
      <w:r w:rsidRPr="00A21820">
        <w:rPr>
          <w:b/>
          <w:color w:val="1F497D"/>
          <w:lang w:eastAsia="en-US"/>
        </w:rPr>
        <w:t>Costos:</w:t>
      </w:r>
    </w:p>
    <w:p w:rsidRPr="00A21820" w:rsidR="00A21820" w:rsidP="00A21820" w:rsidRDefault="00A21820" w14:paraId="3B2D49D1" w14:textId="77777777">
      <w:pPr>
        <w:jc w:val="both"/>
        <w:rPr>
          <w:color w:val="1F497D"/>
          <w:lang w:eastAsia="en-US"/>
        </w:rPr>
      </w:pPr>
      <w:r w:rsidRPr="00A21820">
        <w:rPr>
          <w:color w:val="1F497D"/>
          <w:lang w:eastAsia="en-US"/>
        </w:rPr>
        <w:t>Hay costos asociados a cada caso, la inspección realizada por la Ofi</w:t>
      </w:r>
      <w:r w:rsidR="007D4B6E">
        <w:rPr>
          <w:color w:val="1F497D"/>
          <w:lang w:eastAsia="en-US"/>
        </w:rPr>
        <w:t xml:space="preserve">cina SAG de jurisdicción es </w:t>
      </w:r>
      <w:r w:rsidRPr="00A21820">
        <w:rPr>
          <w:color w:val="1F497D"/>
          <w:lang w:eastAsia="en-US"/>
        </w:rPr>
        <w:t xml:space="preserve">a razón de </w:t>
      </w:r>
      <w:r w:rsidR="007D4B6E">
        <w:rPr>
          <w:color w:val="1F497D"/>
          <w:lang w:eastAsia="en-US"/>
        </w:rPr>
        <w:t xml:space="preserve">4,6 horas estándar </w:t>
      </w:r>
      <w:r w:rsidRPr="00A21820">
        <w:rPr>
          <w:color w:val="1F497D"/>
          <w:lang w:eastAsia="en-US"/>
        </w:rPr>
        <w:t xml:space="preserve">por </w:t>
      </w:r>
      <w:r w:rsidR="007D4B6E">
        <w:rPr>
          <w:color w:val="1F497D"/>
          <w:lang w:eastAsia="en-US"/>
        </w:rPr>
        <w:t>inspección</w:t>
      </w:r>
      <w:r w:rsidRPr="00A21820">
        <w:rPr>
          <w:color w:val="1F497D"/>
          <w:lang w:eastAsia="en-US"/>
        </w:rPr>
        <w:t>.</w:t>
      </w:r>
    </w:p>
    <w:p w:rsidR="00A21820" w:rsidP="00A21820" w:rsidRDefault="00A21820" w14:paraId="3B2D49D2" w14:textId="77777777">
      <w:pPr>
        <w:jc w:val="both"/>
        <w:rPr>
          <w:color w:val="1F497D"/>
          <w:lang w:eastAsia="en-US"/>
        </w:rPr>
      </w:pPr>
      <w:r w:rsidRPr="00A21820">
        <w:rPr>
          <w:color w:val="1F497D"/>
          <w:lang w:eastAsia="en-US"/>
        </w:rPr>
        <w:t xml:space="preserve">Por la emisión de la Resolución de autorización para consumo animal tendrá un costo de </w:t>
      </w:r>
      <w:r w:rsidR="007D4B6E">
        <w:rPr>
          <w:color w:val="1F497D"/>
          <w:lang w:eastAsia="en-US"/>
        </w:rPr>
        <w:t>1</w:t>
      </w:r>
      <w:r w:rsidRPr="00A21820">
        <w:rPr>
          <w:color w:val="1F497D"/>
          <w:lang w:eastAsia="en-US"/>
        </w:rPr>
        <w:t xml:space="preserve">,5 </w:t>
      </w:r>
      <w:r w:rsidR="007D4B6E">
        <w:rPr>
          <w:color w:val="1F497D"/>
          <w:lang w:eastAsia="en-US"/>
        </w:rPr>
        <w:t>horas estándar</w:t>
      </w:r>
      <w:r w:rsidRPr="00A21820">
        <w:rPr>
          <w:color w:val="1F497D"/>
          <w:lang w:eastAsia="en-US"/>
        </w:rPr>
        <w:t>.</w:t>
      </w:r>
    </w:p>
    <w:p w:rsidR="008C7666" w:rsidP="00A21820" w:rsidRDefault="008C7666" w14:paraId="3B2D49D3" w14:textId="77777777">
      <w:pPr>
        <w:jc w:val="both"/>
        <w:rPr>
          <w:color w:val="1F497D"/>
          <w:lang w:eastAsia="en-US"/>
        </w:rPr>
      </w:pPr>
    </w:p>
    <w:p w:rsidRPr="008C7666" w:rsidR="007D4B6E" w:rsidP="00A21820" w:rsidRDefault="008C7666" w14:paraId="3B2D49D4" w14:textId="77777777">
      <w:pPr>
        <w:jc w:val="both"/>
        <w:rPr>
          <w:b/>
          <w:color w:val="1F497D"/>
          <w:lang w:eastAsia="en-US"/>
        </w:rPr>
      </w:pPr>
      <w:r w:rsidRPr="008C7666">
        <w:rPr>
          <w:b/>
          <w:color w:val="1F497D"/>
          <w:lang w:eastAsia="en-US"/>
        </w:rPr>
        <w:t>Modalidad de pago</w:t>
      </w:r>
    </w:p>
    <w:p w:rsidR="000F3DC3" w:rsidP="00A21820" w:rsidRDefault="007D4B6E" w14:paraId="3B2D49D5" w14:textId="77777777">
      <w:pPr>
        <w:jc w:val="both"/>
        <w:rPr>
          <w:color w:val="1F497D"/>
          <w:lang w:eastAsia="en-US"/>
        </w:rPr>
      </w:pPr>
      <w:r>
        <w:rPr>
          <w:color w:val="1F497D"/>
          <w:lang w:eastAsia="en-US"/>
        </w:rPr>
        <w:t>Mediante la cancelación del cupón de pago emitido por sistema en cualquier oficina que trabaje con portal de pagos, o en línea de la siguiente forma:</w:t>
      </w:r>
    </w:p>
    <w:p w:rsidRPr="008E3989" w:rsidR="008E3989" w:rsidP="008E3989" w:rsidRDefault="001342BE" w14:paraId="4FA0128C" w14:textId="0DF900CE">
      <w:pPr>
        <w:pStyle w:val="Prrafodelista"/>
        <w:numPr>
          <w:ilvl w:val="0"/>
          <w:numId w:val="6"/>
        </w:numPr>
        <w:jc w:val="both"/>
        <w:rPr>
          <w:color w:val="1F497D"/>
          <w:lang w:eastAsia="en-US"/>
        </w:rPr>
      </w:pPr>
      <w:r>
        <w:rPr>
          <w:color w:val="1F497D"/>
          <w:lang w:eastAsia="en-US"/>
        </w:rPr>
        <w:t>Deben registrarse en el sistema “Portal Pagos” del SAG (</w:t>
      </w:r>
      <w:hyperlink w:history="1" r:id="rId9">
        <w:r>
          <w:rPr>
            <w:rStyle w:val="Hipervnculo"/>
          </w:rPr>
          <w:t>https://portalpagos.sag.gob.cl/Account/Login.aspx</w:t>
        </w:r>
      </w:hyperlink>
      <w:r>
        <w:t>)</w:t>
      </w:r>
    </w:p>
    <w:p w:rsidRPr="008E3989" w:rsidR="008E3989" w:rsidP="008E3989" w:rsidRDefault="008E3989" w14:paraId="4AF46A3D" w14:textId="77777777">
      <w:pPr>
        <w:pStyle w:val="Prrafodelista"/>
        <w:numPr>
          <w:ilvl w:val="0"/>
          <w:numId w:val="6"/>
        </w:numPr>
        <w:jc w:val="both"/>
        <w:rPr>
          <w:color w:val="1F497D"/>
          <w:lang w:eastAsia="en-US"/>
        </w:rPr>
      </w:pPr>
      <w:r w:rsidRPr="008E3989">
        <w:rPr>
          <w:color w:val="1F497D"/>
          <w:lang w:eastAsia="en-US"/>
        </w:rPr>
        <w:lastRenderedPageBreak/>
        <w:t xml:space="preserve">Una vez registrados en el sistema, deberán solicitar al equipo OGM les haga llegar un Cupón de pago por concepto de cobro por la emisión de la resolución que autoriza el lugar de destrucción, el cual podrá ser cancelado en la misma plataforma (https://portalpagos.sag.gob.cl/Account/Login.aspx) mediante Transbank o TGR. </w:t>
      </w:r>
    </w:p>
    <w:p w:rsidRPr="008E3989" w:rsidR="008E3989" w:rsidP="008E3989" w:rsidRDefault="008E3989" w14:paraId="1D9C76C9" w14:textId="09564343">
      <w:pPr>
        <w:pStyle w:val="Prrafodelista"/>
        <w:numPr>
          <w:ilvl w:val="0"/>
          <w:numId w:val="6"/>
        </w:numPr>
        <w:jc w:val="both"/>
        <w:rPr>
          <w:color w:val="1F497D"/>
          <w:lang w:eastAsia="en-US"/>
        </w:rPr>
      </w:pPr>
      <w:r w:rsidRPr="008E3989">
        <w:rPr>
          <w:color w:val="1F497D"/>
          <w:lang w:eastAsia="en-US"/>
        </w:rPr>
        <w:t xml:space="preserve">Recibirá en su correo electrónico el documento tributario o interno SAG que valida el pago.  </w:t>
      </w:r>
    </w:p>
    <w:p w:rsidRPr="008E3989" w:rsidR="001213C4" w:rsidP="008E3989" w:rsidRDefault="001213C4" w14:paraId="3B2D49DE" w14:textId="4040BE7D">
      <w:pPr>
        <w:ind w:left="360"/>
        <w:jc w:val="both"/>
        <w:rPr>
          <w:color w:val="1F497D"/>
          <w:lang w:eastAsia="en-US"/>
        </w:rPr>
      </w:pPr>
    </w:p>
    <w:p w:rsidRPr="007D4B6E" w:rsidR="001213C4" w:rsidP="007D4B6E" w:rsidRDefault="001213C4" w14:paraId="3B2D49DF" w14:textId="77777777">
      <w:pPr>
        <w:pStyle w:val="Prrafodelista"/>
        <w:jc w:val="both"/>
        <w:rPr>
          <w:color w:val="1F497D"/>
          <w:lang w:eastAsia="en-US"/>
        </w:rPr>
      </w:pPr>
    </w:p>
    <w:p w:rsidRPr="000F3DC3" w:rsidR="000F3DC3" w:rsidP="00A21820" w:rsidRDefault="000F3DC3" w14:paraId="3B2D49E0" w14:textId="77777777">
      <w:pPr>
        <w:jc w:val="both"/>
        <w:rPr>
          <w:b/>
          <w:color w:val="1F497D"/>
          <w:lang w:eastAsia="en-US"/>
        </w:rPr>
      </w:pPr>
      <w:r w:rsidRPr="000F3DC3">
        <w:rPr>
          <w:b/>
          <w:color w:val="1F497D"/>
          <w:lang w:eastAsia="en-US"/>
        </w:rPr>
        <w:t>Plazo de respuesta</w:t>
      </w:r>
    </w:p>
    <w:p w:rsidRPr="000F3DC3" w:rsidR="008C7666" w:rsidP="008C7666" w:rsidRDefault="000F3DC3" w14:paraId="3B2D49E1" w14:textId="77777777">
      <w:pPr>
        <w:jc w:val="both"/>
        <w:rPr>
          <w:color w:val="1F497D"/>
          <w:lang w:eastAsia="en-US"/>
        </w:rPr>
      </w:pPr>
      <w:r>
        <w:rPr>
          <w:color w:val="1F497D"/>
          <w:lang w:eastAsia="en-US"/>
        </w:rPr>
        <w:t>20 días hábiles</w:t>
      </w:r>
      <w:r w:rsidR="00472129">
        <w:rPr>
          <w:color w:val="1F497D"/>
          <w:lang w:eastAsia="en-US"/>
        </w:rPr>
        <w:t>.</w:t>
      </w:r>
    </w:p>
    <w:p w:rsidR="00DC26DF" w:rsidP="00DC26DF" w:rsidRDefault="00DC26DF" w14:paraId="3B2D49E2" w14:textId="77777777">
      <w:pPr>
        <w:rPr>
          <w:color w:val="1F497D"/>
          <w:lang w:eastAsia="en-US"/>
        </w:rPr>
      </w:pPr>
    </w:p>
    <w:p w:rsidRPr="000F3DC3" w:rsidR="00E42C7A" w:rsidP="000F3DC3" w:rsidRDefault="000F3DC3" w14:paraId="3B2D49E3" w14:textId="77777777">
      <w:pPr>
        <w:rPr>
          <w:b/>
          <w:color w:val="1F497D"/>
          <w:lang w:eastAsia="en-US"/>
        </w:rPr>
      </w:pPr>
      <w:r w:rsidRPr="000F3DC3">
        <w:rPr>
          <w:b/>
          <w:color w:val="1F497D"/>
          <w:lang w:eastAsia="en-US"/>
        </w:rPr>
        <w:t>Observaciones</w:t>
      </w:r>
    </w:p>
    <w:p w:rsidR="000F3DC3" w:rsidP="003856F5" w:rsidRDefault="002F56B8" w14:paraId="3B2D49E4" w14:textId="33BA8104">
      <w:pPr>
        <w:jc w:val="both"/>
        <w:rPr>
          <w:color w:val="1F497D"/>
          <w:lang w:eastAsia="en-US"/>
        </w:rPr>
      </w:pPr>
      <w:r w:rsidRPr="7A852AB8" w:rsidR="002F56B8">
        <w:rPr>
          <w:color w:val="1F497D"/>
          <w:lang w:eastAsia="en-US"/>
        </w:rPr>
        <w:t>La autorización del SAG será única y exclusivamente para las instalaciones inspeccionadas</w:t>
      </w:r>
      <w:r w:rsidRPr="7A852AB8" w:rsidR="00AC5D70">
        <w:rPr>
          <w:color w:val="1F497D"/>
          <w:lang w:eastAsia="en-US"/>
        </w:rPr>
        <w:t xml:space="preserve"> por la Oficina SAG de jurisdicción</w:t>
      </w:r>
      <w:r w:rsidRPr="7A852AB8" w:rsidR="002F56B8">
        <w:rPr>
          <w:color w:val="1F497D"/>
          <w:lang w:eastAsia="en-US"/>
        </w:rPr>
        <w:t>, para así mantener trazabilidad de todo material OGM</w:t>
      </w:r>
      <w:r w:rsidRPr="7A852AB8" w:rsidR="00D73C89">
        <w:rPr>
          <w:color w:val="1F497D"/>
          <w:lang w:eastAsia="en-US"/>
        </w:rPr>
        <w:t xml:space="preserve"> </w:t>
      </w:r>
      <w:r w:rsidRPr="7A852AB8" w:rsidR="00D73C89">
        <w:rPr>
          <w:color w:val="1F497D"/>
          <w:lang w:eastAsia="en-US"/>
        </w:rPr>
        <w:t>recepcionado</w:t>
      </w:r>
      <w:r w:rsidRPr="7A852AB8" w:rsidR="00D73C89">
        <w:rPr>
          <w:color w:val="1F497D"/>
          <w:lang w:eastAsia="en-US"/>
        </w:rPr>
        <w:t xml:space="preserve"> y </w:t>
      </w:r>
      <w:r w:rsidRPr="7A852AB8" w:rsidR="00BF7F38">
        <w:rPr>
          <w:color w:val="1F497D"/>
          <w:lang w:eastAsia="en-US"/>
        </w:rPr>
        <w:t>su destino final</w:t>
      </w:r>
      <w:r w:rsidRPr="7A852AB8" w:rsidR="001A5806">
        <w:rPr>
          <w:color w:val="1F497D"/>
          <w:lang w:eastAsia="en-US"/>
        </w:rPr>
        <w:t xml:space="preserve">. </w:t>
      </w:r>
      <w:r w:rsidRPr="7A852AB8" w:rsidR="000F3DC3">
        <w:rPr>
          <w:color w:val="1F497D"/>
          <w:lang w:eastAsia="en-US"/>
        </w:rPr>
        <w:t xml:space="preserve">Cualquier incumplimiento a la normativa vigente en </w:t>
      </w:r>
      <w:r w:rsidRPr="7A852AB8" w:rsidR="000F3DC3">
        <w:rPr>
          <w:color w:val="1F497D"/>
          <w:lang w:eastAsia="en-US"/>
        </w:rPr>
        <w:t>la materia</w:t>
      </w:r>
      <w:r w:rsidRPr="7A852AB8" w:rsidR="339DD6DF">
        <w:rPr>
          <w:color w:val="1F497D"/>
          <w:lang w:eastAsia="en-US"/>
        </w:rPr>
        <w:t xml:space="preserve"> </w:t>
      </w:r>
      <w:r w:rsidRPr="7A852AB8" w:rsidR="000F3DC3">
        <w:rPr>
          <w:color w:val="1F497D"/>
          <w:lang w:eastAsia="en-US"/>
        </w:rPr>
        <w:t>será sancionado de acuerdo a la ley de Protección Agrícola.</w:t>
      </w:r>
    </w:p>
    <w:p w:rsidR="001A5806" w:rsidP="003856F5" w:rsidRDefault="001A5806" w14:paraId="3B2D49E5" w14:textId="77777777">
      <w:pPr>
        <w:jc w:val="both"/>
        <w:rPr>
          <w:color w:val="1F497D"/>
          <w:lang w:eastAsia="en-US"/>
        </w:rPr>
      </w:pPr>
    </w:p>
    <w:p w:rsidR="00E42C7A" w:rsidP="001A5806" w:rsidRDefault="00E42C7A" w14:paraId="3B2D49E6" w14:textId="77777777">
      <w:pPr>
        <w:jc w:val="both"/>
        <w:rPr>
          <w:color w:val="1F497D"/>
          <w:lang w:eastAsia="en-US"/>
        </w:rPr>
      </w:pPr>
      <w:r>
        <w:rPr>
          <w:color w:val="1F497D"/>
          <w:lang w:eastAsia="en-US"/>
        </w:rPr>
        <w:t>En caso de consultas, deberán dirigirse con la Sección d</w:t>
      </w:r>
      <w:r w:rsidR="007B2529">
        <w:rPr>
          <w:color w:val="1F497D"/>
          <w:lang w:eastAsia="en-US"/>
        </w:rPr>
        <w:t>e Autorización y Control de OGM de la Di</w:t>
      </w:r>
      <w:r w:rsidR="00C41DE3">
        <w:rPr>
          <w:color w:val="1F497D"/>
          <w:lang w:eastAsia="en-US"/>
        </w:rPr>
        <w:t>visión de Protección Agrícola-</w:t>
      </w:r>
      <w:r w:rsidR="007B2529">
        <w:rPr>
          <w:color w:val="1F497D"/>
          <w:lang w:eastAsia="en-US"/>
        </w:rPr>
        <w:t>Forestal</w:t>
      </w:r>
      <w:r w:rsidR="00C41DE3">
        <w:rPr>
          <w:color w:val="1F497D"/>
          <w:lang w:eastAsia="en-US"/>
        </w:rPr>
        <w:t xml:space="preserve"> y Semillas</w:t>
      </w:r>
      <w:r w:rsidR="007B2529">
        <w:rPr>
          <w:color w:val="1F497D"/>
          <w:lang w:eastAsia="en-US"/>
        </w:rPr>
        <w:t xml:space="preserve"> del SAG,</w:t>
      </w:r>
      <w:r>
        <w:rPr>
          <w:color w:val="1F497D"/>
          <w:lang w:eastAsia="en-US"/>
        </w:rPr>
        <w:t xml:space="preserve"> con </w:t>
      </w:r>
      <w:r w:rsidR="00C41DE3">
        <w:rPr>
          <w:color w:val="1F497D"/>
          <w:lang w:eastAsia="en-US"/>
        </w:rPr>
        <w:t>Daniel Acosta</w:t>
      </w:r>
      <w:r>
        <w:rPr>
          <w:color w:val="1F497D"/>
          <w:lang w:eastAsia="en-US"/>
        </w:rPr>
        <w:t xml:space="preserve">, </w:t>
      </w:r>
      <w:hyperlink w:history="1" r:id="rId10">
        <w:r w:rsidRPr="009F50EF" w:rsidR="00C41DE3">
          <w:rPr>
            <w:rStyle w:val="Hipervnculo"/>
            <w:lang w:eastAsia="en-US"/>
          </w:rPr>
          <w:t>daniel.acosta@sag.gob.cl</w:t>
        </w:r>
      </w:hyperlink>
      <w:r w:rsidRPr="001A5806" w:rsidR="001A5806">
        <w:rPr>
          <w:rStyle w:val="Hipervnculo"/>
          <w:u w:val="none"/>
          <w:lang w:eastAsia="en-US"/>
        </w:rPr>
        <w:t xml:space="preserve"> ,</w:t>
      </w:r>
      <w:r w:rsidR="001A5806">
        <w:rPr>
          <w:color w:val="1F497D"/>
          <w:lang w:eastAsia="en-US"/>
        </w:rPr>
        <w:t xml:space="preserve"> </w:t>
      </w:r>
      <w:r w:rsidR="00C41DE3">
        <w:rPr>
          <w:color w:val="1F497D"/>
          <w:lang w:eastAsia="en-US"/>
        </w:rPr>
        <w:t xml:space="preserve">y </w:t>
      </w:r>
      <w:r w:rsidR="001A5806">
        <w:rPr>
          <w:color w:val="1F497D"/>
          <w:lang w:eastAsia="en-US"/>
        </w:rPr>
        <w:t>con</w:t>
      </w:r>
      <w:r>
        <w:rPr>
          <w:color w:val="1F497D"/>
          <w:lang w:eastAsia="en-US"/>
        </w:rPr>
        <w:t xml:space="preserve"> </w:t>
      </w:r>
      <w:r w:rsidR="00D97DE3">
        <w:rPr>
          <w:color w:val="1F497D"/>
          <w:lang w:eastAsia="en-US"/>
        </w:rPr>
        <w:t>Manuel Navarrete</w:t>
      </w:r>
      <w:r>
        <w:rPr>
          <w:color w:val="1F497D"/>
          <w:lang w:eastAsia="en-US"/>
        </w:rPr>
        <w:t xml:space="preserve">, </w:t>
      </w:r>
      <w:hyperlink w:history="1" r:id="rId11">
        <w:r w:rsidRPr="00481332" w:rsidR="00D97DE3">
          <w:rPr>
            <w:rStyle w:val="Hipervnculo"/>
            <w:lang w:eastAsia="en-US"/>
          </w:rPr>
          <w:t>manuel.navarrete@sag.gob.cl</w:t>
        </w:r>
      </w:hyperlink>
      <w:r w:rsidR="001A5806">
        <w:rPr>
          <w:color w:val="1F497D"/>
          <w:lang w:eastAsia="en-US"/>
        </w:rPr>
        <w:t>.</w:t>
      </w:r>
    </w:p>
    <w:p w:rsidR="000F3DC3" w:rsidP="003856F5" w:rsidRDefault="000F3DC3" w14:paraId="3B2D49E7" w14:textId="77777777">
      <w:pPr>
        <w:jc w:val="both"/>
        <w:rPr>
          <w:color w:val="1F497D"/>
          <w:lang w:eastAsia="en-US"/>
        </w:rPr>
      </w:pPr>
    </w:p>
    <w:p w:rsidR="00A40C1B" w:rsidRDefault="00A40C1B" w14:paraId="3B2D49E8" w14:textId="77777777"/>
    <w:sectPr w:rsidR="00A40C1B">
      <w:headerReference w:type="default" r:id="rId12"/>
      <w:footerReference w:type="default" r:id="rId13"/>
      <w:pgSz w:w="12240" w:h="15840"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B8C" w:rsidP="008561CD" w:rsidRDefault="00745B8C" w14:paraId="3B2D49EB" w14:textId="77777777">
      <w:r>
        <w:separator/>
      </w:r>
    </w:p>
  </w:endnote>
  <w:endnote w:type="continuationSeparator" w:id="0">
    <w:p w:rsidR="00745B8C" w:rsidP="008561CD" w:rsidRDefault="00745B8C" w14:paraId="3B2D49E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8561CD" w:rsidP="009E2FA3" w:rsidRDefault="008561CD" w14:paraId="3B2D49EE" w14:textId="77777777">
    <w:pPr>
      <w:jc w:val="both"/>
      <w:rPr>
        <w:rFonts w:ascii="Verdana" w:hAnsi="Verdana"/>
        <w:sz w:val="16"/>
      </w:rPr>
    </w:pPr>
    <w:r>
      <w:rPr>
        <w:rFonts w:ascii="Verdana" w:hAnsi="Verdana"/>
        <w:sz w:val="16"/>
      </w:rPr>
      <w:t xml:space="preserve">Servicio Agrícola y Ganadero. División Protección Agrícola y Forestal. </w:t>
    </w:r>
    <w:r w:rsidR="009E2FA3">
      <w:rPr>
        <w:rFonts w:ascii="Verdana" w:hAnsi="Verdana"/>
        <w:sz w:val="16"/>
      </w:rPr>
      <w:t xml:space="preserve">Sección Autorización y Control de OGM. </w:t>
    </w:r>
    <w:r>
      <w:rPr>
        <w:rFonts w:ascii="Verdana" w:hAnsi="Verdana"/>
        <w:sz w:val="16"/>
      </w:rPr>
      <w:t>Av. Presidente  Bulnes 140, 3° piso, Santiago Chile</w:t>
    </w:r>
  </w:p>
  <w:p w:rsidR="008561CD" w:rsidP="008561CD" w:rsidRDefault="008561CD" w14:paraId="3B2D49EF" w14:textId="77777777">
    <w:pPr>
      <w:rPr>
        <w:rFonts w:ascii="Verdana" w:hAnsi="Verdana"/>
        <w:sz w:val="16"/>
      </w:rPr>
    </w:pPr>
    <w:r>
      <w:rPr>
        <w:rFonts w:ascii="Verdana" w:hAnsi="Verdana"/>
        <w:sz w:val="16"/>
      </w:rPr>
      <w:t>Teléfono: (02) 2345 1211</w:t>
    </w:r>
  </w:p>
  <w:p w:rsidRPr="001E336E" w:rsidR="008561CD" w:rsidP="008561CD" w:rsidRDefault="008561CD" w14:paraId="3B2D49F0" w14:textId="77777777">
    <w:pPr>
      <w:rPr>
        <w:rFonts w:ascii="Verdana" w:hAnsi="Verdana"/>
        <w:color w:val="304FD4"/>
        <w:sz w:val="16"/>
      </w:rPr>
    </w:pPr>
    <w:r w:rsidRPr="001E336E">
      <w:rPr>
        <w:rFonts w:ascii="Verdana" w:hAnsi="Verdana"/>
        <w:color w:val="304FD4"/>
        <w:sz w:val="16"/>
      </w:rPr>
      <w:t xml:space="preserve">www.sag.cl      </w:t>
    </w:r>
  </w:p>
  <w:p w:rsidR="008561CD" w:rsidP="008561CD" w:rsidRDefault="008561CD" w14:paraId="3B2D49F1" w14:textId="77777777">
    <w:pPr>
      <w:pStyle w:val="Piedepgina"/>
    </w:pPr>
    <w:r w:rsidRPr="001E336E">
      <w:rPr>
        <w:noProof/>
      </w:rPr>
      <w:drawing>
        <wp:inline distT="0" distB="0" distL="0" distR="0" wp14:anchorId="3B2D49F4" wp14:editId="3B2D49F5">
          <wp:extent cx="1238250" cy="66675"/>
          <wp:effectExtent l="0" t="0" r="0" b="9525"/>
          <wp:docPr id="1" name="Imagen 1"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66675"/>
                  </a:xfrm>
                  <a:prstGeom prst="rect">
                    <a:avLst/>
                  </a:prstGeom>
                  <a:noFill/>
                  <a:ln>
                    <a:noFill/>
                  </a:ln>
                </pic:spPr>
              </pic:pic>
            </a:graphicData>
          </a:graphic>
        </wp:inline>
      </w:drawing>
    </w:r>
    <w:r w:rsidR="00122F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B8C" w:rsidP="008561CD" w:rsidRDefault="00745B8C" w14:paraId="3B2D49E9" w14:textId="77777777">
      <w:r>
        <w:separator/>
      </w:r>
    </w:p>
  </w:footnote>
  <w:footnote w:type="continuationSeparator" w:id="0">
    <w:p w:rsidR="00745B8C" w:rsidP="008561CD" w:rsidRDefault="00745B8C" w14:paraId="3B2D49E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3A6D8D" w:rsidP="003A6D8D" w:rsidRDefault="003A6D8D" w14:paraId="3B2D49ED" w14:textId="77777777">
    <w:pPr>
      <w:pStyle w:val="Encabezado"/>
    </w:pPr>
    <w:r w:rsidRPr="00524BB9">
      <w:rPr>
        <w:rFonts w:ascii="Verdana" w:hAnsi="Verdana"/>
        <w:i/>
        <w:noProof/>
        <w:sz w:val="16"/>
        <w:szCs w:val="16"/>
      </w:rPr>
      <w:drawing>
        <wp:inline distT="0" distB="0" distL="0" distR="0" wp14:anchorId="3B2D49F2" wp14:editId="3B2D49F3">
          <wp:extent cx="647700" cy="702991"/>
          <wp:effectExtent l="0" t="0" r="0" b="1905"/>
          <wp:docPr id="3" name="Imagen 3" descr="logo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1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02991"/>
                  </a:xfrm>
                  <a:prstGeom prst="rect">
                    <a:avLst/>
                  </a:prstGeom>
                  <a:noFill/>
                  <a:ln>
                    <a:noFill/>
                  </a:ln>
                </pic:spPr>
              </pic:pic>
            </a:graphicData>
          </a:graphic>
        </wp:inline>
      </w:drawing>
    </w:r>
    <w:r w:rsidR="00122F4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40B4C"/>
    <w:multiLevelType w:val="multilevel"/>
    <w:tmpl w:val="E3304E1A"/>
    <w:lvl w:ilvl="0">
      <w:start w:val="1"/>
      <w:numFmt w:val="lowerLetter"/>
      <w:lvlText w:val="%1."/>
      <w:lvlJc w:val="left"/>
      <w:pPr>
        <w:tabs>
          <w:tab w:val="num" w:pos="720"/>
        </w:tabs>
        <w:ind w:left="720" w:hanging="360"/>
      </w:pPr>
      <w:rPr>
        <w:rFonts w:hint="default" w:eastAsia="Times New Roman" w:asciiTheme="minorHAnsi" w:hAnsiTheme="minorHAnsi" w:cstheme="minorHAnsi"/>
        <w:sz w:val="22"/>
        <w:szCs w:val="22"/>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DDA7CD9"/>
    <w:multiLevelType w:val="multilevel"/>
    <w:tmpl w:val="A850A7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8928FB"/>
    <w:multiLevelType w:val="hybridMultilevel"/>
    <w:tmpl w:val="A2D2D2D8"/>
    <w:lvl w:ilvl="0" w:tplc="340A0001">
      <w:start w:val="1"/>
      <w:numFmt w:val="bullet"/>
      <w:lvlText w:val=""/>
      <w:lvlJc w:val="left"/>
      <w:pPr>
        <w:ind w:left="770" w:hanging="360"/>
      </w:pPr>
      <w:rPr>
        <w:rFonts w:hint="default" w:ascii="Symbol" w:hAnsi="Symbol"/>
      </w:rPr>
    </w:lvl>
    <w:lvl w:ilvl="1" w:tplc="340A0003" w:tentative="1">
      <w:start w:val="1"/>
      <w:numFmt w:val="bullet"/>
      <w:lvlText w:val="o"/>
      <w:lvlJc w:val="left"/>
      <w:pPr>
        <w:ind w:left="1490" w:hanging="360"/>
      </w:pPr>
      <w:rPr>
        <w:rFonts w:hint="default" w:ascii="Courier New" w:hAnsi="Courier New" w:cs="Courier New"/>
      </w:rPr>
    </w:lvl>
    <w:lvl w:ilvl="2" w:tplc="340A0005" w:tentative="1">
      <w:start w:val="1"/>
      <w:numFmt w:val="bullet"/>
      <w:lvlText w:val=""/>
      <w:lvlJc w:val="left"/>
      <w:pPr>
        <w:ind w:left="2210" w:hanging="360"/>
      </w:pPr>
      <w:rPr>
        <w:rFonts w:hint="default" w:ascii="Wingdings" w:hAnsi="Wingdings"/>
      </w:rPr>
    </w:lvl>
    <w:lvl w:ilvl="3" w:tplc="340A0001" w:tentative="1">
      <w:start w:val="1"/>
      <w:numFmt w:val="bullet"/>
      <w:lvlText w:val=""/>
      <w:lvlJc w:val="left"/>
      <w:pPr>
        <w:ind w:left="2930" w:hanging="360"/>
      </w:pPr>
      <w:rPr>
        <w:rFonts w:hint="default" w:ascii="Symbol" w:hAnsi="Symbol"/>
      </w:rPr>
    </w:lvl>
    <w:lvl w:ilvl="4" w:tplc="340A0003" w:tentative="1">
      <w:start w:val="1"/>
      <w:numFmt w:val="bullet"/>
      <w:lvlText w:val="o"/>
      <w:lvlJc w:val="left"/>
      <w:pPr>
        <w:ind w:left="3650" w:hanging="360"/>
      </w:pPr>
      <w:rPr>
        <w:rFonts w:hint="default" w:ascii="Courier New" w:hAnsi="Courier New" w:cs="Courier New"/>
      </w:rPr>
    </w:lvl>
    <w:lvl w:ilvl="5" w:tplc="340A0005" w:tentative="1">
      <w:start w:val="1"/>
      <w:numFmt w:val="bullet"/>
      <w:lvlText w:val=""/>
      <w:lvlJc w:val="left"/>
      <w:pPr>
        <w:ind w:left="4370" w:hanging="360"/>
      </w:pPr>
      <w:rPr>
        <w:rFonts w:hint="default" w:ascii="Wingdings" w:hAnsi="Wingdings"/>
      </w:rPr>
    </w:lvl>
    <w:lvl w:ilvl="6" w:tplc="340A0001" w:tentative="1">
      <w:start w:val="1"/>
      <w:numFmt w:val="bullet"/>
      <w:lvlText w:val=""/>
      <w:lvlJc w:val="left"/>
      <w:pPr>
        <w:ind w:left="5090" w:hanging="360"/>
      </w:pPr>
      <w:rPr>
        <w:rFonts w:hint="default" w:ascii="Symbol" w:hAnsi="Symbol"/>
      </w:rPr>
    </w:lvl>
    <w:lvl w:ilvl="7" w:tplc="340A0003" w:tentative="1">
      <w:start w:val="1"/>
      <w:numFmt w:val="bullet"/>
      <w:lvlText w:val="o"/>
      <w:lvlJc w:val="left"/>
      <w:pPr>
        <w:ind w:left="5810" w:hanging="360"/>
      </w:pPr>
      <w:rPr>
        <w:rFonts w:hint="default" w:ascii="Courier New" w:hAnsi="Courier New" w:cs="Courier New"/>
      </w:rPr>
    </w:lvl>
    <w:lvl w:ilvl="8" w:tplc="340A0005" w:tentative="1">
      <w:start w:val="1"/>
      <w:numFmt w:val="bullet"/>
      <w:lvlText w:val=""/>
      <w:lvlJc w:val="left"/>
      <w:pPr>
        <w:ind w:left="6530" w:hanging="360"/>
      </w:pPr>
      <w:rPr>
        <w:rFonts w:hint="default" w:ascii="Wingdings" w:hAnsi="Wingdings"/>
      </w:rPr>
    </w:lvl>
  </w:abstractNum>
  <w:abstractNum w:abstractNumId="3" w15:restartNumberingAfterBreak="0">
    <w:nsid w:val="507E4131"/>
    <w:multiLevelType w:val="multilevel"/>
    <w:tmpl w:val="148EE2EC"/>
    <w:lvl w:ilvl="0">
      <w:start w:val="1"/>
      <w:numFmt w:val="lowerLetter"/>
      <w:lvlText w:val="%1."/>
      <w:lvlJc w:val="left"/>
      <w:pPr>
        <w:tabs>
          <w:tab w:val="num" w:pos="720"/>
        </w:tabs>
        <w:ind w:left="720" w:hanging="360"/>
      </w:pPr>
      <w:rPr>
        <w:rFonts w:hint="default" w:eastAsia="Times New Roman" w:asciiTheme="minorHAnsi" w:hAnsiTheme="minorHAnsi" w:cstheme="minorHAnsi"/>
        <w:sz w:val="22"/>
        <w:szCs w:val="22"/>
      </w:rPr>
    </w:lvl>
    <w:lvl w:ilvl="1">
      <w:start w:val="6"/>
      <w:numFmt w:val="bullet"/>
      <w:lvlText w:val="-"/>
      <w:lvlJc w:val="left"/>
      <w:pPr>
        <w:ind w:left="1440" w:hanging="360"/>
      </w:pPr>
      <w:rPr>
        <w:rFonts w:hint="default" w:ascii="inherit" w:hAnsi="inherit" w:eastAsia="Times New Roman" w:cs="Calibri"/>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50F917AC"/>
    <w:multiLevelType w:val="multilevel"/>
    <w:tmpl w:val="893092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55A96A3A"/>
    <w:multiLevelType w:val="hybridMultilevel"/>
    <w:tmpl w:val="BCE42D56"/>
    <w:lvl w:ilvl="0" w:tplc="340A0011">
      <w:start w:val="1"/>
      <w:numFmt w:val="decimal"/>
      <w:lvlText w:val="%1)"/>
      <w:lvlJc w:val="left"/>
      <w:pPr>
        <w:ind w:left="360" w:hanging="360"/>
      </w:p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start w:val="1"/>
      <w:numFmt w:val="decimal"/>
      <w:lvlText w:val="%4."/>
      <w:lvlJc w:val="left"/>
      <w:pPr>
        <w:ind w:left="2520" w:hanging="360"/>
      </w:pPr>
    </w:lvl>
    <w:lvl w:ilvl="4" w:tplc="340A0019">
      <w:start w:val="1"/>
      <w:numFmt w:val="lowerLetter"/>
      <w:lvlText w:val="%5."/>
      <w:lvlJc w:val="left"/>
      <w:pPr>
        <w:ind w:left="3240" w:hanging="360"/>
      </w:pPr>
    </w:lvl>
    <w:lvl w:ilvl="5" w:tplc="340A001B">
      <w:start w:val="1"/>
      <w:numFmt w:val="lowerRoman"/>
      <w:lvlText w:val="%6."/>
      <w:lvlJc w:val="right"/>
      <w:pPr>
        <w:ind w:left="3960" w:hanging="180"/>
      </w:pPr>
    </w:lvl>
    <w:lvl w:ilvl="6" w:tplc="340A000F">
      <w:start w:val="1"/>
      <w:numFmt w:val="decimal"/>
      <w:lvlText w:val="%7."/>
      <w:lvlJc w:val="left"/>
      <w:pPr>
        <w:ind w:left="4680" w:hanging="360"/>
      </w:pPr>
    </w:lvl>
    <w:lvl w:ilvl="7" w:tplc="340A0019">
      <w:start w:val="1"/>
      <w:numFmt w:val="lowerLetter"/>
      <w:lvlText w:val="%8."/>
      <w:lvlJc w:val="left"/>
      <w:pPr>
        <w:ind w:left="5400" w:hanging="360"/>
      </w:pPr>
    </w:lvl>
    <w:lvl w:ilvl="8" w:tplc="340A001B">
      <w:start w:val="1"/>
      <w:numFmt w:val="lowerRoman"/>
      <w:lvlText w:val="%9."/>
      <w:lvlJc w:val="right"/>
      <w:pPr>
        <w:ind w:left="6120" w:hanging="180"/>
      </w:pPr>
    </w:lvl>
  </w:abstractNum>
  <w:abstractNum w:abstractNumId="6" w15:restartNumberingAfterBreak="0">
    <w:nsid w:val="59EA2AFC"/>
    <w:multiLevelType w:val="multilevel"/>
    <w:tmpl w:val="7658A88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6B84634A"/>
    <w:multiLevelType w:val="hybridMultilevel"/>
    <w:tmpl w:val="ADEA6046"/>
    <w:lvl w:ilvl="0" w:tplc="340A0001">
      <w:start w:val="1"/>
      <w:numFmt w:val="bullet"/>
      <w:lvlText w:val=""/>
      <w:lvlJc w:val="left"/>
      <w:pPr>
        <w:ind w:left="720" w:hanging="360"/>
      </w:pPr>
      <w:rPr>
        <w:rFonts w:hint="default" w:ascii="Symbol" w:hAnsi="Symbol"/>
      </w:rPr>
    </w:lvl>
    <w:lvl w:ilvl="1" w:tplc="340A0003" w:tentative="1">
      <w:start w:val="1"/>
      <w:numFmt w:val="bullet"/>
      <w:lvlText w:val="o"/>
      <w:lvlJc w:val="left"/>
      <w:pPr>
        <w:ind w:left="1440" w:hanging="360"/>
      </w:pPr>
      <w:rPr>
        <w:rFonts w:hint="default" w:ascii="Courier New" w:hAnsi="Courier New" w:cs="Courier New"/>
      </w:rPr>
    </w:lvl>
    <w:lvl w:ilvl="2" w:tplc="340A0005" w:tentative="1">
      <w:start w:val="1"/>
      <w:numFmt w:val="bullet"/>
      <w:lvlText w:val=""/>
      <w:lvlJc w:val="left"/>
      <w:pPr>
        <w:ind w:left="2160" w:hanging="360"/>
      </w:pPr>
      <w:rPr>
        <w:rFonts w:hint="default" w:ascii="Wingdings" w:hAnsi="Wingdings"/>
      </w:rPr>
    </w:lvl>
    <w:lvl w:ilvl="3" w:tplc="340A0001" w:tentative="1">
      <w:start w:val="1"/>
      <w:numFmt w:val="bullet"/>
      <w:lvlText w:val=""/>
      <w:lvlJc w:val="left"/>
      <w:pPr>
        <w:ind w:left="2880" w:hanging="360"/>
      </w:pPr>
      <w:rPr>
        <w:rFonts w:hint="default" w:ascii="Symbol" w:hAnsi="Symbol"/>
      </w:rPr>
    </w:lvl>
    <w:lvl w:ilvl="4" w:tplc="340A0003" w:tentative="1">
      <w:start w:val="1"/>
      <w:numFmt w:val="bullet"/>
      <w:lvlText w:val="o"/>
      <w:lvlJc w:val="left"/>
      <w:pPr>
        <w:ind w:left="3600" w:hanging="360"/>
      </w:pPr>
      <w:rPr>
        <w:rFonts w:hint="default" w:ascii="Courier New" w:hAnsi="Courier New" w:cs="Courier New"/>
      </w:rPr>
    </w:lvl>
    <w:lvl w:ilvl="5" w:tplc="340A0005" w:tentative="1">
      <w:start w:val="1"/>
      <w:numFmt w:val="bullet"/>
      <w:lvlText w:val=""/>
      <w:lvlJc w:val="left"/>
      <w:pPr>
        <w:ind w:left="4320" w:hanging="360"/>
      </w:pPr>
      <w:rPr>
        <w:rFonts w:hint="default" w:ascii="Wingdings" w:hAnsi="Wingdings"/>
      </w:rPr>
    </w:lvl>
    <w:lvl w:ilvl="6" w:tplc="340A0001" w:tentative="1">
      <w:start w:val="1"/>
      <w:numFmt w:val="bullet"/>
      <w:lvlText w:val=""/>
      <w:lvlJc w:val="left"/>
      <w:pPr>
        <w:ind w:left="5040" w:hanging="360"/>
      </w:pPr>
      <w:rPr>
        <w:rFonts w:hint="default" w:ascii="Symbol" w:hAnsi="Symbol"/>
      </w:rPr>
    </w:lvl>
    <w:lvl w:ilvl="7" w:tplc="340A0003" w:tentative="1">
      <w:start w:val="1"/>
      <w:numFmt w:val="bullet"/>
      <w:lvlText w:val="o"/>
      <w:lvlJc w:val="left"/>
      <w:pPr>
        <w:ind w:left="5760" w:hanging="360"/>
      </w:pPr>
      <w:rPr>
        <w:rFonts w:hint="default" w:ascii="Courier New" w:hAnsi="Courier New" w:cs="Courier New"/>
      </w:rPr>
    </w:lvl>
    <w:lvl w:ilvl="8" w:tplc="340A0005" w:tentative="1">
      <w:start w:val="1"/>
      <w:numFmt w:val="bullet"/>
      <w:lvlText w:val=""/>
      <w:lvlJc w:val="left"/>
      <w:pPr>
        <w:ind w:left="6480" w:hanging="360"/>
      </w:pPr>
      <w:rPr>
        <w:rFonts w:hint="default" w:ascii="Wingdings" w:hAnsi="Wingdings"/>
      </w:rPr>
    </w:lvl>
  </w:abstractNum>
  <w:abstractNum w:abstractNumId="8" w15:restartNumberingAfterBreak="0">
    <w:nsid w:val="6F24024D"/>
    <w:multiLevelType w:val="hybridMultilevel"/>
    <w:tmpl w:val="DA242C1E"/>
    <w:lvl w:ilvl="0" w:tplc="340A0011">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9" w15:restartNumberingAfterBreak="0">
    <w:nsid w:val="78A51478"/>
    <w:multiLevelType w:val="hybridMultilevel"/>
    <w:tmpl w:val="00669B2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9"/>
  </w:num>
  <w:num w:numId="7">
    <w:abstractNumId w:val="1"/>
  </w:num>
  <w:num w:numId="8">
    <w:abstractNumId w:val="3"/>
  </w:num>
  <w:num w:numId="9">
    <w:abstractNumId w:val="0"/>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6DF"/>
    <w:rsid w:val="00012476"/>
    <w:rsid w:val="0005654C"/>
    <w:rsid w:val="000745E8"/>
    <w:rsid w:val="00081E23"/>
    <w:rsid w:val="00087787"/>
    <w:rsid w:val="000A5F69"/>
    <w:rsid w:val="000B35BF"/>
    <w:rsid w:val="000C1C46"/>
    <w:rsid w:val="000C7DDE"/>
    <w:rsid w:val="000F01DD"/>
    <w:rsid w:val="000F3DC3"/>
    <w:rsid w:val="000F7344"/>
    <w:rsid w:val="00117241"/>
    <w:rsid w:val="001213C4"/>
    <w:rsid w:val="00122F4C"/>
    <w:rsid w:val="001342BE"/>
    <w:rsid w:val="00135AE8"/>
    <w:rsid w:val="00155594"/>
    <w:rsid w:val="001A345C"/>
    <w:rsid w:val="001A5806"/>
    <w:rsid w:val="001C155A"/>
    <w:rsid w:val="002F56B8"/>
    <w:rsid w:val="00325E90"/>
    <w:rsid w:val="00326E10"/>
    <w:rsid w:val="003628C4"/>
    <w:rsid w:val="00363FA1"/>
    <w:rsid w:val="003856F5"/>
    <w:rsid w:val="003A4B12"/>
    <w:rsid w:val="003A6D8D"/>
    <w:rsid w:val="003B559D"/>
    <w:rsid w:val="00401700"/>
    <w:rsid w:val="0042104F"/>
    <w:rsid w:val="004426C8"/>
    <w:rsid w:val="00442D82"/>
    <w:rsid w:val="00472129"/>
    <w:rsid w:val="0048765D"/>
    <w:rsid w:val="00496065"/>
    <w:rsid w:val="004C12A8"/>
    <w:rsid w:val="004C2587"/>
    <w:rsid w:val="004E4BF0"/>
    <w:rsid w:val="004F2B6E"/>
    <w:rsid w:val="005130D1"/>
    <w:rsid w:val="005468C4"/>
    <w:rsid w:val="00596632"/>
    <w:rsid w:val="005B5F71"/>
    <w:rsid w:val="005D1A47"/>
    <w:rsid w:val="00617165"/>
    <w:rsid w:val="00617B99"/>
    <w:rsid w:val="00632389"/>
    <w:rsid w:val="00632AAD"/>
    <w:rsid w:val="00663DDD"/>
    <w:rsid w:val="00667426"/>
    <w:rsid w:val="006707C0"/>
    <w:rsid w:val="006C766D"/>
    <w:rsid w:val="006E29C7"/>
    <w:rsid w:val="006F513B"/>
    <w:rsid w:val="00745B8C"/>
    <w:rsid w:val="00797CC1"/>
    <w:rsid w:val="007B2529"/>
    <w:rsid w:val="007C5783"/>
    <w:rsid w:val="007D4B6E"/>
    <w:rsid w:val="008561CD"/>
    <w:rsid w:val="008A1A29"/>
    <w:rsid w:val="008C7666"/>
    <w:rsid w:val="008E3989"/>
    <w:rsid w:val="00957C56"/>
    <w:rsid w:val="00965777"/>
    <w:rsid w:val="00974EE4"/>
    <w:rsid w:val="009A6A12"/>
    <w:rsid w:val="009E2FA3"/>
    <w:rsid w:val="009F571D"/>
    <w:rsid w:val="00A16DDE"/>
    <w:rsid w:val="00A21820"/>
    <w:rsid w:val="00A25712"/>
    <w:rsid w:val="00A40C1B"/>
    <w:rsid w:val="00A56EDF"/>
    <w:rsid w:val="00A62F7E"/>
    <w:rsid w:val="00AC5D70"/>
    <w:rsid w:val="00AE23E3"/>
    <w:rsid w:val="00AF27DB"/>
    <w:rsid w:val="00B2316E"/>
    <w:rsid w:val="00B25736"/>
    <w:rsid w:val="00B33084"/>
    <w:rsid w:val="00B37263"/>
    <w:rsid w:val="00B460AC"/>
    <w:rsid w:val="00B540E5"/>
    <w:rsid w:val="00B579B7"/>
    <w:rsid w:val="00B93216"/>
    <w:rsid w:val="00BD0AB7"/>
    <w:rsid w:val="00BF7F38"/>
    <w:rsid w:val="00C03B4E"/>
    <w:rsid w:val="00C41DE3"/>
    <w:rsid w:val="00C47346"/>
    <w:rsid w:val="00C6544E"/>
    <w:rsid w:val="00C71344"/>
    <w:rsid w:val="00C830EE"/>
    <w:rsid w:val="00C852BF"/>
    <w:rsid w:val="00CB2634"/>
    <w:rsid w:val="00CD1863"/>
    <w:rsid w:val="00CF0086"/>
    <w:rsid w:val="00D10F5E"/>
    <w:rsid w:val="00D62608"/>
    <w:rsid w:val="00D711A2"/>
    <w:rsid w:val="00D73C89"/>
    <w:rsid w:val="00D97DE3"/>
    <w:rsid w:val="00DB3ED3"/>
    <w:rsid w:val="00DC26DF"/>
    <w:rsid w:val="00DE5AD0"/>
    <w:rsid w:val="00E04635"/>
    <w:rsid w:val="00E3773C"/>
    <w:rsid w:val="00E42C7A"/>
    <w:rsid w:val="00E55AEE"/>
    <w:rsid w:val="00E83C99"/>
    <w:rsid w:val="00EA0190"/>
    <w:rsid w:val="00F12945"/>
    <w:rsid w:val="00F5711D"/>
    <w:rsid w:val="00F7268B"/>
    <w:rsid w:val="00F742F4"/>
    <w:rsid w:val="00FF1D0E"/>
    <w:rsid w:val="339DD6DF"/>
    <w:rsid w:val="7A852AB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D499C"/>
  <w15:chartTrackingRefBased/>
  <w15:docId w15:val="{CB118209-0D90-419E-A869-853C9F04E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C26DF"/>
    <w:pPr>
      <w:spacing w:after="0" w:line="240" w:lineRule="auto"/>
    </w:pPr>
    <w:rPr>
      <w:rFonts w:ascii="Calibri" w:hAnsi="Calibri" w:cs="Times New Roman"/>
      <w:lang w:eastAsia="es-CL"/>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basedOn w:val="Normal"/>
    <w:uiPriority w:val="34"/>
    <w:qFormat/>
    <w:rsid w:val="00DC26DF"/>
    <w:pPr>
      <w:spacing w:line="252" w:lineRule="auto"/>
      <w:ind w:left="720"/>
      <w:contextualSpacing/>
    </w:pPr>
  </w:style>
  <w:style w:type="character" w:styleId="date-display-single" w:customStyle="1">
    <w:name w:val="date-display-single"/>
    <w:basedOn w:val="Fuentedeprrafopredeter"/>
    <w:rsid w:val="00A62F7E"/>
  </w:style>
  <w:style w:type="paragraph" w:styleId="HTMLconformatoprevio">
    <w:name w:val="HTML Preformatted"/>
    <w:basedOn w:val="Normal"/>
    <w:link w:val="HTMLconformatoprevioCar"/>
    <w:uiPriority w:val="99"/>
    <w:semiHidden/>
    <w:unhideWhenUsed/>
    <w:rsid w:val="00A62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character" w:styleId="HTMLconformatoprevioCar" w:customStyle="1">
    <w:name w:val="HTML con formato previo Car"/>
    <w:basedOn w:val="Fuentedeprrafopredeter"/>
    <w:link w:val="HTMLconformatoprevio"/>
    <w:uiPriority w:val="99"/>
    <w:semiHidden/>
    <w:rsid w:val="00A62F7E"/>
    <w:rPr>
      <w:rFonts w:ascii="Courier New" w:hAnsi="Courier New" w:eastAsia="Times New Roman" w:cs="Courier New"/>
      <w:sz w:val="20"/>
      <w:szCs w:val="20"/>
      <w:lang w:eastAsia="es-CL"/>
    </w:rPr>
  </w:style>
  <w:style w:type="paragraph" w:styleId="Encabezado">
    <w:name w:val="header"/>
    <w:basedOn w:val="Normal"/>
    <w:link w:val="EncabezadoCar"/>
    <w:uiPriority w:val="99"/>
    <w:unhideWhenUsed/>
    <w:rsid w:val="008561CD"/>
    <w:pPr>
      <w:tabs>
        <w:tab w:val="center" w:pos="4419"/>
        <w:tab w:val="right" w:pos="8838"/>
      </w:tabs>
    </w:pPr>
  </w:style>
  <w:style w:type="character" w:styleId="EncabezadoCar" w:customStyle="1">
    <w:name w:val="Encabezado Car"/>
    <w:basedOn w:val="Fuentedeprrafopredeter"/>
    <w:link w:val="Encabezado"/>
    <w:uiPriority w:val="99"/>
    <w:rsid w:val="008561CD"/>
    <w:rPr>
      <w:rFonts w:ascii="Calibri" w:hAnsi="Calibri" w:cs="Times New Roman"/>
      <w:lang w:eastAsia="es-CL"/>
    </w:rPr>
  </w:style>
  <w:style w:type="paragraph" w:styleId="Piedepgina">
    <w:name w:val="footer"/>
    <w:basedOn w:val="Normal"/>
    <w:link w:val="PiedepginaCar"/>
    <w:unhideWhenUsed/>
    <w:rsid w:val="008561CD"/>
    <w:pPr>
      <w:tabs>
        <w:tab w:val="center" w:pos="4419"/>
        <w:tab w:val="right" w:pos="8838"/>
      </w:tabs>
    </w:pPr>
  </w:style>
  <w:style w:type="character" w:styleId="PiedepginaCar" w:customStyle="1">
    <w:name w:val="Pie de página Car"/>
    <w:basedOn w:val="Fuentedeprrafopredeter"/>
    <w:link w:val="Piedepgina"/>
    <w:rsid w:val="008561CD"/>
    <w:rPr>
      <w:rFonts w:ascii="Calibri" w:hAnsi="Calibri" w:cs="Times New Roman"/>
      <w:lang w:eastAsia="es-CL"/>
    </w:rPr>
  </w:style>
  <w:style w:type="character" w:styleId="Hipervnculo">
    <w:name w:val="Hyperlink"/>
    <w:basedOn w:val="Fuentedeprrafopredeter"/>
    <w:uiPriority w:val="99"/>
    <w:unhideWhenUsed/>
    <w:rsid w:val="00E42C7A"/>
    <w:rPr>
      <w:color w:val="0563C1" w:themeColor="hyperlink"/>
      <w:u w:val="single"/>
    </w:rPr>
  </w:style>
  <w:style w:type="character" w:styleId="Hipervnculovisitado">
    <w:name w:val="FollowedHyperlink"/>
    <w:basedOn w:val="Fuentedeprrafopredeter"/>
    <w:uiPriority w:val="99"/>
    <w:semiHidden/>
    <w:unhideWhenUsed/>
    <w:rsid w:val="00D10F5E"/>
    <w:rPr>
      <w:color w:val="954F72" w:themeColor="followedHyperlink"/>
      <w:u w:val="single"/>
    </w:rPr>
  </w:style>
  <w:style w:type="character" w:styleId="Refdecomentario">
    <w:name w:val="annotation reference"/>
    <w:basedOn w:val="Fuentedeprrafopredeter"/>
    <w:uiPriority w:val="99"/>
    <w:semiHidden/>
    <w:unhideWhenUsed/>
    <w:rsid w:val="00D10F5E"/>
    <w:rPr>
      <w:sz w:val="16"/>
      <w:szCs w:val="16"/>
    </w:rPr>
  </w:style>
  <w:style w:type="paragraph" w:styleId="Textocomentario">
    <w:name w:val="annotation text"/>
    <w:basedOn w:val="Normal"/>
    <w:link w:val="TextocomentarioCar"/>
    <w:uiPriority w:val="99"/>
    <w:semiHidden/>
    <w:unhideWhenUsed/>
    <w:rsid w:val="00D10F5E"/>
    <w:rPr>
      <w:sz w:val="20"/>
      <w:szCs w:val="20"/>
    </w:rPr>
  </w:style>
  <w:style w:type="character" w:styleId="TextocomentarioCar" w:customStyle="1">
    <w:name w:val="Texto comentario Car"/>
    <w:basedOn w:val="Fuentedeprrafopredeter"/>
    <w:link w:val="Textocomentario"/>
    <w:uiPriority w:val="99"/>
    <w:semiHidden/>
    <w:rsid w:val="00D10F5E"/>
    <w:rPr>
      <w:rFonts w:ascii="Calibri" w:hAnsi="Calibri" w:cs="Times New Roman"/>
      <w:sz w:val="20"/>
      <w:szCs w:val="20"/>
      <w:lang w:eastAsia="es-CL"/>
    </w:rPr>
  </w:style>
  <w:style w:type="paragraph" w:styleId="Asuntodelcomentario">
    <w:name w:val="annotation subject"/>
    <w:basedOn w:val="Textocomentario"/>
    <w:next w:val="Textocomentario"/>
    <w:link w:val="AsuntodelcomentarioCar"/>
    <w:uiPriority w:val="99"/>
    <w:semiHidden/>
    <w:unhideWhenUsed/>
    <w:rsid w:val="00D10F5E"/>
    <w:rPr>
      <w:b/>
      <w:bCs/>
    </w:rPr>
  </w:style>
  <w:style w:type="character" w:styleId="AsuntodelcomentarioCar" w:customStyle="1">
    <w:name w:val="Asunto del comentario Car"/>
    <w:basedOn w:val="TextocomentarioCar"/>
    <w:link w:val="Asuntodelcomentario"/>
    <w:uiPriority w:val="99"/>
    <w:semiHidden/>
    <w:rsid w:val="00D10F5E"/>
    <w:rPr>
      <w:rFonts w:ascii="Calibri" w:hAnsi="Calibri" w:cs="Times New Roman"/>
      <w:b/>
      <w:bCs/>
      <w:sz w:val="20"/>
      <w:szCs w:val="20"/>
      <w:lang w:eastAsia="es-CL"/>
    </w:rPr>
  </w:style>
  <w:style w:type="paragraph" w:styleId="Textodeglobo">
    <w:name w:val="Balloon Text"/>
    <w:basedOn w:val="Normal"/>
    <w:link w:val="TextodegloboCar"/>
    <w:uiPriority w:val="99"/>
    <w:semiHidden/>
    <w:unhideWhenUsed/>
    <w:rsid w:val="00D10F5E"/>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D10F5E"/>
    <w:rPr>
      <w:rFonts w:ascii="Segoe UI" w:hAnsi="Segoe UI" w:cs="Segoe UI"/>
      <w:sz w:val="18"/>
      <w:szCs w:val="18"/>
      <w:lang w:eastAsia="es-CL"/>
    </w:rPr>
  </w:style>
  <w:style w:type="paragraph" w:styleId="NormalWeb">
    <w:name w:val="Normal (Web)"/>
    <w:basedOn w:val="Normal"/>
    <w:uiPriority w:val="99"/>
    <w:semiHidden/>
    <w:unhideWhenUsed/>
    <w:rsid w:val="00442D82"/>
    <w:pPr>
      <w:spacing w:before="100" w:beforeAutospacing="1" w:after="100" w:afterAutospacing="1"/>
    </w:pPr>
    <w:rPr>
      <w:rFonts w:ascii="Times New Roman" w:hAnsi="Times New Roman" w:eastAsia="Times New Roman"/>
      <w:sz w:val="24"/>
      <w:szCs w:val="24"/>
    </w:rPr>
  </w:style>
  <w:style w:type="character" w:styleId="mark0ds2suguj" w:customStyle="1">
    <w:name w:val="mark0ds2suguj"/>
    <w:basedOn w:val="Fuentedeprrafopredeter"/>
    <w:rsid w:val="00442D82"/>
  </w:style>
  <w:style w:type="character" w:styleId="mark5rz971oxn" w:customStyle="1">
    <w:name w:val="mark5rz971oxn"/>
    <w:basedOn w:val="Fuentedeprrafopredeter"/>
    <w:rsid w:val="00442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004039">
      <w:bodyDiv w:val="1"/>
      <w:marLeft w:val="0"/>
      <w:marRight w:val="0"/>
      <w:marTop w:val="0"/>
      <w:marBottom w:val="0"/>
      <w:divBdr>
        <w:top w:val="none" w:sz="0" w:space="0" w:color="auto"/>
        <w:left w:val="none" w:sz="0" w:space="0" w:color="auto"/>
        <w:bottom w:val="none" w:sz="0" w:space="0" w:color="auto"/>
        <w:right w:val="none" w:sz="0" w:space="0" w:color="auto"/>
      </w:divBdr>
      <w:divsChild>
        <w:div w:id="1138189076">
          <w:marLeft w:val="0"/>
          <w:marRight w:val="0"/>
          <w:marTop w:val="0"/>
          <w:marBottom w:val="0"/>
          <w:divBdr>
            <w:top w:val="none" w:sz="0" w:space="0" w:color="auto"/>
            <w:left w:val="none" w:sz="0" w:space="0" w:color="auto"/>
            <w:bottom w:val="none" w:sz="0" w:space="0" w:color="auto"/>
            <w:right w:val="none" w:sz="0" w:space="0" w:color="auto"/>
          </w:divBdr>
          <w:divsChild>
            <w:div w:id="1010906950">
              <w:marLeft w:val="0"/>
              <w:marRight w:val="0"/>
              <w:marTop w:val="0"/>
              <w:marBottom w:val="0"/>
              <w:divBdr>
                <w:top w:val="none" w:sz="0" w:space="0" w:color="auto"/>
                <w:left w:val="none" w:sz="0" w:space="0" w:color="auto"/>
                <w:bottom w:val="none" w:sz="0" w:space="0" w:color="auto"/>
                <w:right w:val="none" w:sz="0" w:space="0" w:color="auto"/>
              </w:divBdr>
            </w:div>
            <w:div w:id="1510952323">
              <w:marLeft w:val="0"/>
              <w:marRight w:val="0"/>
              <w:marTop w:val="0"/>
              <w:marBottom w:val="0"/>
              <w:divBdr>
                <w:top w:val="none" w:sz="0" w:space="0" w:color="auto"/>
                <w:left w:val="none" w:sz="0" w:space="0" w:color="auto"/>
                <w:bottom w:val="none" w:sz="0" w:space="0" w:color="auto"/>
                <w:right w:val="none" w:sz="0" w:space="0" w:color="auto"/>
              </w:divBdr>
              <w:divsChild>
                <w:div w:id="1209412270">
                  <w:marLeft w:val="0"/>
                  <w:marRight w:val="0"/>
                  <w:marTop w:val="0"/>
                  <w:marBottom w:val="0"/>
                  <w:divBdr>
                    <w:top w:val="none" w:sz="0" w:space="0" w:color="auto"/>
                    <w:left w:val="none" w:sz="0" w:space="0" w:color="auto"/>
                    <w:bottom w:val="none" w:sz="0" w:space="0" w:color="auto"/>
                    <w:right w:val="none" w:sz="0" w:space="0" w:color="auto"/>
                  </w:divBdr>
                  <w:divsChild>
                    <w:div w:id="142491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334100">
      <w:bodyDiv w:val="1"/>
      <w:marLeft w:val="0"/>
      <w:marRight w:val="0"/>
      <w:marTop w:val="0"/>
      <w:marBottom w:val="0"/>
      <w:divBdr>
        <w:top w:val="none" w:sz="0" w:space="0" w:color="auto"/>
        <w:left w:val="none" w:sz="0" w:space="0" w:color="auto"/>
        <w:bottom w:val="none" w:sz="0" w:space="0" w:color="auto"/>
        <w:right w:val="none" w:sz="0" w:space="0" w:color="auto"/>
      </w:divBdr>
    </w:div>
    <w:div w:id="1173372955">
      <w:bodyDiv w:val="1"/>
      <w:marLeft w:val="0"/>
      <w:marRight w:val="0"/>
      <w:marTop w:val="0"/>
      <w:marBottom w:val="0"/>
      <w:divBdr>
        <w:top w:val="none" w:sz="0" w:space="0" w:color="auto"/>
        <w:left w:val="none" w:sz="0" w:space="0" w:color="auto"/>
        <w:bottom w:val="none" w:sz="0" w:space="0" w:color="auto"/>
        <w:right w:val="none" w:sz="0" w:space="0" w:color="auto"/>
      </w:divBdr>
    </w:div>
    <w:div w:id="1200125717">
      <w:bodyDiv w:val="1"/>
      <w:marLeft w:val="0"/>
      <w:marRight w:val="0"/>
      <w:marTop w:val="0"/>
      <w:marBottom w:val="0"/>
      <w:divBdr>
        <w:top w:val="none" w:sz="0" w:space="0" w:color="auto"/>
        <w:left w:val="none" w:sz="0" w:space="0" w:color="auto"/>
        <w:bottom w:val="none" w:sz="0" w:space="0" w:color="auto"/>
        <w:right w:val="none" w:sz="0" w:space="0" w:color="auto"/>
      </w:divBdr>
    </w:div>
    <w:div w:id="1400203880">
      <w:bodyDiv w:val="1"/>
      <w:marLeft w:val="0"/>
      <w:marRight w:val="0"/>
      <w:marTop w:val="0"/>
      <w:marBottom w:val="0"/>
      <w:divBdr>
        <w:top w:val="none" w:sz="0" w:space="0" w:color="auto"/>
        <w:left w:val="none" w:sz="0" w:space="0" w:color="auto"/>
        <w:bottom w:val="none" w:sz="0" w:space="0" w:color="auto"/>
        <w:right w:val="none" w:sz="0" w:space="0" w:color="auto"/>
      </w:divBdr>
    </w:div>
    <w:div w:id="1638029729">
      <w:bodyDiv w:val="1"/>
      <w:marLeft w:val="0"/>
      <w:marRight w:val="0"/>
      <w:marTop w:val="0"/>
      <w:marBottom w:val="0"/>
      <w:divBdr>
        <w:top w:val="none" w:sz="0" w:space="0" w:color="auto"/>
        <w:left w:val="none" w:sz="0" w:space="0" w:color="auto"/>
        <w:bottom w:val="none" w:sz="0" w:space="0" w:color="auto"/>
        <w:right w:val="none" w:sz="0" w:space="0" w:color="auto"/>
      </w:divBdr>
      <w:divsChild>
        <w:div w:id="1647975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oficina.partes@sag.gob.cl" TargetMode="External" Id="rId8" /><Relationship Type="http://schemas.openxmlformats.org/officeDocument/2006/relationships/footer" Target="footer1.xml" Id="rId13" /><Relationship Type="http://schemas.openxmlformats.org/officeDocument/2006/relationships/customXml" Target="../customXml/item4.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customXml" Target="../customXml/item3.xml" Id="rId17" /><Relationship Type="http://schemas.openxmlformats.org/officeDocument/2006/relationships/numbering" Target="numbering.xml" Id="rId2" /><Relationship Type="http://schemas.openxmlformats.org/officeDocument/2006/relationships/customXml" Target="../customXml/item2.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manuel.navarrete@sag.gob.cl" TargetMode="Externa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yperlink" Target="mailto:daniel.acosta@sag.gob.cl" TargetMode="External" Id="rId10" /><Relationship Type="http://schemas.openxmlformats.org/officeDocument/2006/relationships/settings" Target="settings.xml" Id="rId4" /><Relationship Type="http://schemas.openxmlformats.org/officeDocument/2006/relationships/hyperlink" Target="https://portalpagos.sag.gob.cl/Account/Login.aspx" TargetMode="External"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8E0B9D827A46614CA9538DDA70657768" ma:contentTypeVersion="18" ma:contentTypeDescription="Crear nuevo documento." ma:contentTypeScope="" ma:versionID="37f4cb85a4b2cd96e0de89589e2efd4e">
  <xsd:schema xmlns:xsd="http://www.w3.org/2001/XMLSchema" xmlns:xs="http://www.w3.org/2001/XMLSchema" xmlns:p="http://schemas.microsoft.com/office/2006/metadata/properties" xmlns:ns2="5ab71d93-fdf8-4ad7-be85-ee8c2571dae1" xmlns:ns3="b6b9f9cb-e07f-4456-bfd2-5d28b99b08ef" targetNamespace="http://schemas.microsoft.com/office/2006/metadata/properties" ma:root="true" ma:fieldsID="c4dac4bc832f0ec30c0dbf6ae0ced18d" ns2:_="" ns3:_="">
    <xsd:import namespace="5ab71d93-fdf8-4ad7-be85-ee8c2571dae1"/>
    <xsd:import namespace="b6b9f9cb-e07f-4456-bfd2-5d28b99b08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b71d93-fdf8-4ad7-be85-ee8c2571da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e3d2b8fa-a52d-4b8c-a9ca-9b3c6924c598"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b9f9cb-e07f-4456-bfd2-5d28b99b08ef"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da20ac96-a5ef-49fe-b541-ec938d5df4bb}" ma:internalName="TaxCatchAll" ma:showField="CatchAllData" ma:web="b6b9f9cb-e07f-4456-bfd2-5d28b99b08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ab71d93-fdf8-4ad7-be85-ee8c2571dae1">
      <Terms xmlns="http://schemas.microsoft.com/office/infopath/2007/PartnerControls"/>
    </lcf76f155ced4ddcb4097134ff3c332f>
    <TaxCatchAll xmlns="b6b9f9cb-e07f-4456-bfd2-5d28b99b08ef" xsi:nil="true"/>
  </documentManagement>
</p:properties>
</file>

<file path=customXml/itemProps1.xml><?xml version="1.0" encoding="utf-8"?>
<ds:datastoreItem xmlns:ds="http://schemas.openxmlformats.org/officeDocument/2006/customXml" ds:itemID="{BC5BFDEB-4418-401C-89DD-0006375B2DFA}">
  <ds:schemaRefs>
    <ds:schemaRef ds:uri="http://schemas.openxmlformats.org/officeDocument/2006/bibliography"/>
  </ds:schemaRefs>
</ds:datastoreItem>
</file>

<file path=customXml/itemProps2.xml><?xml version="1.0" encoding="utf-8"?>
<ds:datastoreItem xmlns:ds="http://schemas.openxmlformats.org/officeDocument/2006/customXml" ds:itemID="{B352A7D1-19DD-4B81-8DF6-C08920DC71E3}"/>
</file>

<file path=customXml/itemProps3.xml><?xml version="1.0" encoding="utf-8"?>
<ds:datastoreItem xmlns:ds="http://schemas.openxmlformats.org/officeDocument/2006/customXml" ds:itemID="{AAE92383-E20C-4175-B58B-B309B5747825}"/>
</file>

<file path=customXml/itemProps4.xml><?xml version="1.0" encoding="utf-8"?>
<ds:datastoreItem xmlns:ds="http://schemas.openxmlformats.org/officeDocument/2006/customXml" ds:itemID="{F4BBB2D4-52B7-4ECF-8E91-DE51A1E9E00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Alejandra Arellano Castro</dc:creator>
  <cp:keywords/>
  <dc:description/>
  <cp:lastModifiedBy>Manuel Jesús Navarrete Fernández</cp:lastModifiedBy>
  <cp:revision>16</cp:revision>
  <dcterms:created xsi:type="dcterms:W3CDTF">2017-12-06T19:36:00Z</dcterms:created>
  <dcterms:modified xsi:type="dcterms:W3CDTF">2025-04-01T13:42:58Z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0x0101008E0B9D827A46614CA9538DDA70657768</vt:lpwstr>
  </property>
  <property fmtid="{D5CDD505-2E9C-101B-9397-08002B2CF9AE}" pid="3" name="MediaServiceImageTags">
    <vt:lpwstr/>
  </property>
</Properties>
</file>