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BA" w:rsidRPr="006002FD" w:rsidRDefault="00DD052B" w:rsidP="009251FC">
      <w:pPr>
        <w:jc w:val="center"/>
        <w:rPr>
          <w:b/>
          <w:sz w:val="24"/>
          <w:szCs w:val="24"/>
          <w:u w:val="single"/>
        </w:rPr>
      </w:pPr>
      <w:r w:rsidRPr="006002FD">
        <w:rPr>
          <w:b/>
          <w:sz w:val="24"/>
          <w:szCs w:val="24"/>
          <w:u w:val="single"/>
        </w:rPr>
        <w:t xml:space="preserve">Resumen de vigilancia </w:t>
      </w:r>
      <w:r w:rsidR="005339BA" w:rsidRPr="006002FD">
        <w:rPr>
          <w:b/>
          <w:sz w:val="24"/>
          <w:szCs w:val="24"/>
          <w:u w:val="single"/>
        </w:rPr>
        <w:t xml:space="preserve">de enfermedades exóticas </w:t>
      </w:r>
      <w:r w:rsidRPr="006002FD">
        <w:rPr>
          <w:b/>
          <w:sz w:val="24"/>
          <w:szCs w:val="24"/>
          <w:u w:val="single"/>
        </w:rPr>
        <w:t xml:space="preserve">porcina y jabalíes </w:t>
      </w:r>
    </w:p>
    <w:p w:rsidR="00D42CD4" w:rsidRPr="006002FD" w:rsidRDefault="00DD052B" w:rsidP="009251FC">
      <w:pPr>
        <w:jc w:val="center"/>
        <w:rPr>
          <w:b/>
          <w:sz w:val="24"/>
          <w:szCs w:val="24"/>
          <w:u w:val="single"/>
        </w:rPr>
      </w:pPr>
      <w:r w:rsidRPr="006002FD">
        <w:rPr>
          <w:b/>
          <w:sz w:val="24"/>
          <w:szCs w:val="24"/>
          <w:u w:val="single"/>
        </w:rPr>
        <w:t>I semestre 2020</w:t>
      </w:r>
    </w:p>
    <w:p w:rsidR="009251FC" w:rsidRPr="006002FD" w:rsidRDefault="009251FC" w:rsidP="009251FC">
      <w:pPr>
        <w:pStyle w:val="Prrafodelista"/>
        <w:numPr>
          <w:ilvl w:val="0"/>
          <w:numId w:val="2"/>
        </w:numPr>
        <w:ind w:left="0"/>
        <w:rPr>
          <w:b/>
          <w:sz w:val="20"/>
          <w:szCs w:val="20"/>
          <w:u w:val="single"/>
        </w:rPr>
      </w:pPr>
      <w:r w:rsidRPr="006002FD">
        <w:rPr>
          <w:b/>
          <w:sz w:val="20"/>
          <w:szCs w:val="20"/>
          <w:u w:val="single"/>
        </w:rPr>
        <w:t>Generalidades</w:t>
      </w:r>
    </w:p>
    <w:p w:rsidR="009251FC" w:rsidRPr="006002FD" w:rsidRDefault="009251FC" w:rsidP="009251FC">
      <w:pPr>
        <w:pStyle w:val="Prrafodelista"/>
        <w:ind w:left="0"/>
        <w:jc w:val="both"/>
        <w:rPr>
          <w:sz w:val="20"/>
          <w:szCs w:val="20"/>
        </w:rPr>
      </w:pPr>
      <w:r w:rsidRPr="006002FD">
        <w:rPr>
          <w:sz w:val="20"/>
          <w:szCs w:val="20"/>
        </w:rPr>
        <w:t>Se entrega este avance de actividades de vigilancia porcina para su evaluación y desempeño.</w:t>
      </w:r>
    </w:p>
    <w:p w:rsidR="009251FC" w:rsidRDefault="009251FC" w:rsidP="009251FC">
      <w:pPr>
        <w:pStyle w:val="Prrafodelista"/>
        <w:ind w:left="0"/>
        <w:jc w:val="both"/>
        <w:rPr>
          <w:sz w:val="20"/>
          <w:szCs w:val="20"/>
        </w:rPr>
      </w:pPr>
      <w:r w:rsidRPr="006002FD">
        <w:rPr>
          <w:sz w:val="20"/>
          <w:szCs w:val="20"/>
        </w:rPr>
        <w:t xml:space="preserve">Cabe considerar que existen diversas actividades de vigilancia porcina a nivel nacional que se han visto afectadas, disminuidas, retrasadas o bien reprogramadas por la </w:t>
      </w:r>
      <w:r w:rsidRPr="006002FD">
        <w:rPr>
          <w:b/>
          <w:sz w:val="20"/>
          <w:szCs w:val="20"/>
        </w:rPr>
        <w:t>pandemia del COVID-19</w:t>
      </w:r>
      <w:r w:rsidRPr="006002FD">
        <w:rPr>
          <w:sz w:val="20"/>
          <w:szCs w:val="20"/>
        </w:rPr>
        <w:t xml:space="preserve"> a nivel nacional y mundial.</w:t>
      </w:r>
    </w:p>
    <w:p w:rsidR="006002FD" w:rsidRPr="006002FD" w:rsidRDefault="006002FD" w:rsidP="009251FC">
      <w:pPr>
        <w:pStyle w:val="Prrafodelista"/>
        <w:ind w:left="0"/>
        <w:jc w:val="both"/>
        <w:rPr>
          <w:sz w:val="20"/>
          <w:szCs w:val="20"/>
        </w:rPr>
      </w:pPr>
    </w:p>
    <w:p w:rsidR="009251FC" w:rsidRPr="006002FD" w:rsidRDefault="009251FC" w:rsidP="009251FC">
      <w:pPr>
        <w:pStyle w:val="Prrafodelista"/>
        <w:numPr>
          <w:ilvl w:val="0"/>
          <w:numId w:val="2"/>
        </w:numPr>
        <w:ind w:left="0"/>
        <w:rPr>
          <w:b/>
          <w:sz w:val="20"/>
          <w:szCs w:val="20"/>
          <w:u w:val="single"/>
        </w:rPr>
      </w:pPr>
      <w:r w:rsidRPr="006002FD">
        <w:rPr>
          <w:b/>
          <w:sz w:val="20"/>
          <w:szCs w:val="20"/>
          <w:u w:val="single"/>
        </w:rPr>
        <w:t>Actividades de PRRS:</w:t>
      </w:r>
    </w:p>
    <w:p w:rsidR="009251FC" w:rsidRPr="006002FD" w:rsidRDefault="009251FC" w:rsidP="009251FC">
      <w:pPr>
        <w:pStyle w:val="Prrafodelista"/>
        <w:ind w:left="0"/>
        <w:jc w:val="both"/>
        <w:rPr>
          <w:sz w:val="20"/>
          <w:szCs w:val="20"/>
        </w:rPr>
      </w:pPr>
      <w:r w:rsidRPr="006002FD">
        <w:rPr>
          <w:sz w:val="20"/>
          <w:szCs w:val="20"/>
        </w:rPr>
        <w:t>Según norma técnica del año vigente, los chequeos realizados el primer semestre del año 2020 en establecimientos industriales y no industriales, por Región, se detallan en las siguientes tablas, dando un total de 260 chequeos en establecimientos industriales, en laboratorios autorizados y 50 en establecimientos no industriales, análisis realizados en su totalidad en el Laboratorio SAG Lo Aguirre.</w:t>
      </w:r>
    </w:p>
    <w:p w:rsidR="009251FC" w:rsidRDefault="009251FC" w:rsidP="009251FC">
      <w:pPr>
        <w:pStyle w:val="Prrafodelista"/>
        <w:ind w:left="0"/>
        <w:jc w:val="both"/>
        <w:rPr>
          <w:sz w:val="20"/>
          <w:szCs w:val="20"/>
        </w:rPr>
      </w:pPr>
      <w:r w:rsidRPr="006002FD">
        <w:rPr>
          <w:sz w:val="20"/>
          <w:szCs w:val="20"/>
        </w:rPr>
        <w:t>Cabe mencionar que a la fecha de la elaboración de este informe existe solamente una empresa industrial positiva al virus, la que está en un proceso jurídico, y no cuenta aún con un plan de saneamiento aprobado por el SAG. El resto del país ha continuado negativo, lo que da posibilidades de comenzar a trabajar en los respaldos de la declaración de país libre, una vez que se solucione el problema judicial.</w:t>
      </w:r>
    </w:p>
    <w:p w:rsidR="00263B20" w:rsidRPr="006002FD" w:rsidRDefault="00263B20" w:rsidP="009251FC">
      <w:pPr>
        <w:pStyle w:val="Prrafodelista"/>
        <w:ind w:left="0"/>
        <w:jc w:val="both"/>
        <w:rPr>
          <w:sz w:val="20"/>
          <w:szCs w:val="20"/>
        </w:rPr>
      </w:pPr>
    </w:p>
    <w:p w:rsidR="009251FC" w:rsidRPr="006002FD" w:rsidRDefault="009251FC" w:rsidP="009251FC">
      <w:pPr>
        <w:pStyle w:val="Prrafodelista"/>
        <w:ind w:left="0"/>
        <w:rPr>
          <w:b/>
          <w:sz w:val="20"/>
          <w:szCs w:val="20"/>
        </w:rPr>
      </w:pPr>
      <w:r w:rsidRPr="006002FD">
        <w:rPr>
          <w:b/>
          <w:sz w:val="20"/>
          <w:szCs w:val="20"/>
        </w:rPr>
        <w:t>Tablas N° 1 y 2 de avance de chequeos realizados el primer semestre del año 2020 para PRRS.</w:t>
      </w:r>
    </w:p>
    <w:p w:rsidR="009251FC" w:rsidRPr="006002FD" w:rsidRDefault="009251FC" w:rsidP="009251FC">
      <w:pPr>
        <w:pStyle w:val="Prrafodelista"/>
        <w:rPr>
          <w:b/>
          <w:sz w:val="20"/>
          <w:szCs w:val="20"/>
        </w:rPr>
      </w:pPr>
      <w:r w:rsidRPr="006002FD"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4445</wp:posOffset>
            </wp:positionV>
            <wp:extent cx="1308100" cy="3577590"/>
            <wp:effectExtent l="19050" t="0" r="6350" b="0"/>
            <wp:wrapThrough wrapText="bothSides">
              <wp:wrapPolygon edited="0">
                <wp:start x="-315" y="0"/>
                <wp:lineTo x="-315" y="21393"/>
                <wp:lineTo x="11324" y="21393"/>
                <wp:lineTo x="21390" y="21278"/>
                <wp:lineTo x="21390" y="18403"/>
                <wp:lineTo x="21705" y="18288"/>
                <wp:lineTo x="21705" y="15067"/>
                <wp:lineTo x="20447" y="14837"/>
                <wp:lineTo x="11324" y="14722"/>
                <wp:lineTo x="21390" y="14722"/>
                <wp:lineTo x="21390" y="12882"/>
                <wp:lineTo x="21705" y="12652"/>
                <wp:lineTo x="21390" y="11042"/>
                <wp:lineTo x="21390" y="7476"/>
                <wp:lineTo x="21705" y="6326"/>
                <wp:lineTo x="20447" y="6096"/>
                <wp:lineTo x="11324" y="5521"/>
                <wp:lineTo x="21390" y="4946"/>
                <wp:lineTo x="21390" y="1840"/>
                <wp:lineTo x="17616" y="1840"/>
                <wp:lineTo x="21705" y="1150"/>
                <wp:lineTo x="21705" y="0"/>
                <wp:lineTo x="-315" y="0"/>
              </wp:wrapPolygon>
            </wp:wrapThrough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57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02FD">
        <w:rPr>
          <w:noProof/>
          <w:sz w:val="20"/>
          <w:szCs w:val="20"/>
          <w:lang w:eastAsia="es-CL"/>
        </w:rPr>
        <w:drawing>
          <wp:inline distT="0" distB="0" distL="0" distR="0">
            <wp:extent cx="1426090" cy="3586039"/>
            <wp:effectExtent l="19050" t="0" r="266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816" cy="3592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02FD">
        <w:rPr>
          <w:b/>
          <w:sz w:val="20"/>
          <w:szCs w:val="20"/>
        </w:rPr>
        <w:t xml:space="preserve"> </w:t>
      </w:r>
    </w:p>
    <w:p w:rsidR="00E63E8F" w:rsidRDefault="00E63E8F" w:rsidP="009251FC">
      <w:pPr>
        <w:pStyle w:val="Prrafodelista"/>
        <w:rPr>
          <w:b/>
          <w:sz w:val="20"/>
          <w:szCs w:val="20"/>
        </w:rPr>
      </w:pPr>
    </w:p>
    <w:p w:rsidR="006002FD" w:rsidRDefault="006002FD" w:rsidP="009251FC">
      <w:pPr>
        <w:pStyle w:val="Prrafodelista"/>
        <w:rPr>
          <w:b/>
          <w:sz w:val="20"/>
          <w:szCs w:val="20"/>
        </w:rPr>
      </w:pPr>
    </w:p>
    <w:p w:rsidR="00A23BEB" w:rsidRPr="006002FD" w:rsidRDefault="00A23BEB" w:rsidP="00A23BEB">
      <w:pPr>
        <w:pStyle w:val="Prrafodelista"/>
        <w:numPr>
          <w:ilvl w:val="0"/>
          <w:numId w:val="2"/>
        </w:numPr>
        <w:ind w:left="0"/>
        <w:rPr>
          <w:b/>
          <w:sz w:val="20"/>
          <w:szCs w:val="20"/>
          <w:u w:val="single"/>
        </w:rPr>
      </w:pPr>
      <w:r w:rsidRPr="006002FD">
        <w:rPr>
          <w:b/>
          <w:sz w:val="20"/>
          <w:szCs w:val="20"/>
          <w:u w:val="single"/>
        </w:rPr>
        <w:lastRenderedPageBreak/>
        <w:t>Actividades de vigilancia en jabalíes:</w:t>
      </w:r>
    </w:p>
    <w:p w:rsidR="00853A4A" w:rsidRPr="006002FD" w:rsidRDefault="00A23BEB" w:rsidP="00853A4A">
      <w:pPr>
        <w:pStyle w:val="Prrafodelista"/>
        <w:ind w:left="0"/>
        <w:jc w:val="both"/>
        <w:rPr>
          <w:sz w:val="20"/>
          <w:szCs w:val="20"/>
        </w:rPr>
      </w:pPr>
      <w:r w:rsidRPr="006002FD">
        <w:rPr>
          <w:sz w:val="20"/>
          <w:szCs w:val="20"/>
        </w:rPr>
        <w:t xml:space="preserve">En cuanto a las actividades de vigilancia de enfermedades exóticas en jabalíes, </w:t>
      </w:r>
      <w:r w:rsidR="00853A4A" w:rsidRPr="006002FD">
        <w:rPr>
          <w:sz w:val="20"/>
          <w:szCs w:val="20"/>
        </w:rPr>
        <w:t xml:space="preserve">hasta la fecha del informe se habían realizado 61 chequeos, sumando una totalidad de 147 análisis en las enfermedades del plan nacional de vigilancia de enfermedades exóticas. </w:t>
      </w:r>
    </w:p>
    <w:p w:rsidR="00853A4A" w:rsidRPr="006002FD" w:rsidRDefault="00853A4A" w:rsidP="00853A4A">
      <w:pPr>
        <w:pStyle w:val="Prrafodelista"/>
        <w:ind w:left="0"/>
        <w:jc w:val="both"/>
        <w:rPr>
          <w:sz w:val="20"/>
          <w:szCs w:val="20"/>
        </w:rPr>
      </w:pPr>
      <w:r w:rsidRPr="006002FD">
        <w:rPr>
          <w:sz w:val="20"/>
          <w:szCs w:val="20"/>
        </w:rPr>
        <w:t>Todas las muestras han sido analizadas en el Laboratorio Oficial de Lo Aguirre</w:t>
      </w:r>
      <w:r w:rsidR="005339BA" w:rsidRPr="006002FD">
        <w:rPr>
          <w:sz w:val="20"/>
          <w:szCs w:val="20"/>
        </w:rPr>
        <w:t xml:space="preserve"> y todas han resultado negativas a las enfermedades</w:t>
      </w:r>
      <w:r w:rsidR="00477759">
        <w:rPr>
          <w:sz w:val="20"/>
          <w:szCs w:val="20"/>
        </w:rPr>
        <w:t xml:space="preserve"> del plan </w:t>
      </w:r>
      <w:r w:rsidR="00E86CAE">
        <w:rPr>
          <w:sz w:val="20"/>
          <w:szCs w:val="20"/>
        </w:rPr>
        <w:t>nacional</w:t>
      </w:r>
      <w:r w:rsidRPr="006002FD">
        <w:rPr>
          <w:sz w:val="20"/>
          <w:szCs w:val="20"/>
        </w:rPr>
        <w:t>.</w:t>
      </w:r>
    </w:p>
    <w:p w:rsidR="009251FC" w:rsidRPr="006002FD" w:rsidRDefault="00853A4A" w:rsidP="009B2535">
      <w:pPr>
        <w:pStyle w:val="Prrafodelista"/>
        <w:ind w:left="0"/>
        <w:jc w:val="both"/>
        <w:rPr>
          <w:sz w:val="20"/>
          <w:szCs w:val="20"/>
        </w:rPr>
      </w:pPr>
      <w:r w:rsidRPr="006002FD">
        <w:rPr>
          <w:sz w:val="20"/>
          <w:szCs w:val="20"/>
        </w:rPr>
        <w:t>L</w:t>
      </w:r>
      <w:r w:rsidR="00A23BEB" w:rsidRPr="006002FD">
        <w:rPr>
          <w:sz w:val="20"/>
          <w:szCs w:val="20"/>
        </w:rPr>
        <w:t>os avances del plan del año 2020, detallado por Región, se observa en la tabla N°3.</w:t>
      </w:r>
    </w:p>
    <w:p w:rsidR="00E65C90" w:rsidRPr="006002FD" w:rsidRDefault="00E65C90" w:rsidP="009B2535">
      <w:pPr>
        <w:pStyle w:val="Prrafodelista"/>
        <w:ind w:left="0"/>
        <w:jc w:val="both"/>
        <w:rPr>
          <w:sz w:val="20"/>
          <w:szCs w:val="20"/>
        </w:rPr>
      </w:pPr>
      <w:r w:rsidRPr="006002FD">
        <w:rPr>
          <w:noProof/>
          <w:sz w:val="20"/>
          <w:szCs w:val="20"/>
          <w:lang w:eastAsia="es-CL"/>
        </w:rPr>
        <w:drawing>
          <wp:inline distT="0" distB="0" distL="0" distR="0">
            <wp:extent cx="5612130" cy="2312202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12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C90" w:rsidRPr="006002FD" w:rsidRDefault="00E65C90" w:rsidP="009B2535">
      <w:pPr>
        <w:pStyle w:val="Prrafodelista"/>
        <w:ind w:left="0"/>
        <w:jc w:val="both"/>
        <w:rPr>
          <w:sz w:val="20"/>
          <w:szCs w:val="20"/>
        </w:rPr>
      </w:pPr>
    </w:p>
    <w:p w:rsidR="009251FC" w:rsidRPr="006002FD" w:rsidRDefault="009251FC" w:rsidP="009251FC">
      <w:pPr>
        <w:pStyle w:val="Prrafodelista"/>
        <w:rPr>
          <w:b/>
          <w:sz w:val="20"/>
          <w:szCs w:val="20"/>
        </w:rPr>
      </w:pPr>
    </w:p>
    <w:p w:rsidR="005339BA" w:rsidRPr="006002FD" w:rsidRDefault="005339BA" w:rsidP="005339BA">
      <w:pPr>
        <w:pStyle w:val="Prrafodelista"/>
        <w:numPr>
          <w:ilvl w:val="0"/>
          <w:numId w:val="2"/>
        </w:numPr>
        <w:ind w:left="0"/>
        <w:rPr>
          <w:b/>
          <w:sz w:val="20"/>
          <w:szCs w:val="20"/>
          <w:u w:val="single"/>
        </w:rPr>
      </w:pPr>
      <w:r w:rsidRPr="006002FD">
        <w:rPr>
          <w:b/>
          <w:sz w:val="20"/>
          <w:szCs w:val="20"/>
          <w:u w:val="single"/>
        </w:rPr>
        <w:t>Actividades de vigilancia en cerdos industriales y no industriales:</w:t>
      </w:r>
    </w:p>
    <w:p w:rsidR="009251FC" w:rsidRPr="006002FD" w:rsidRDefault="00E65C90" w:rsidP="006002FD">
      <w:pPr>
        <w:pStyle w:val="Prrafodelista"/>
        <w:ind w:left="0"/>
        <w:jc w:val="both"/>
        <w:rPr>
          <w:sz w:val="20"/>
          <w:szCs w:val="20"/>
        </w:rPr>
      </w:pPr>
      <w:r w:rsidRPr="006002FD">
        <w:rPr>
          <w:sz w:val="20"/>
          <w:szCs w:val="20"/>
        </w:rPr>
        <w:t xml:space="preserve">La vigilancia de cerdos industriales y no industriales se continúo realizando de manera </w:t>
      </w:r>
      <w:r w:rsidR="009C44EE" w:rsidRPr="006002FD">
        <w:rPr>
          <w:sz w:val="20"/>
          <w:szCs w:val="20"/>
        </w:rPr>
        <w:t>normal previo a la declaración de pandemia del COVID-19. Posterior a esta pandemia y hasta la fecha se ha estado trabajando en base a vigilancia de denuncias y notificaciones por parte de los MVA y</w:t>
      </w:r>
      <w:r w:rsidR="00477759">
        <w:rPr>
          <w:sz w:val="20"/>
          <w:szCs w:val="20"/>
        </w:rPr>
        <w:t xml:space="preserve"> propietarios de cerdos a </w:t>
      </w:r>
      <w:r w:rsidR="009C44EE" w:rsidRPr="006002FD">
        <w:rPr>
          <w:sz w:val="20"/>
          <w:szCs w:val="20"/>
        </w:rPr>
        <w:t>que informen al SAG.</w:t>
      </w:r>
    </w:p>
    <w:p w:rsidR="00D45B19" w:rsidRPr="006002FD" w:rsidRDefault="00D45B19" w:rsidP="006002FD">
      <w:pPr>
        <w:pStyle w:val="Prrafodelista"/>
        <w:ind w:left="0"/>
        <w:jc w:val="both"/>
        <w:rPr>
          <w:sz w:val="20"/>
          <w:szCs w:val="20"/>
        </w:rPr>
      </w:pPr>
      <w:r w:rsidRPr="006002FD">
        <w:rPr>
          <w:sz w:val="20"/>
          <w:szCs w:val="20"/>
        </w:rPr>
        <w:t xml:space="preserve">En las diferentes enfermedades y estratos donde se han realizado pruebas diagnósticas para enfermedades exóticas, se han tomado más de </w:t>
      </w:r>
      <w:r w:rsidR="00B3701E" w:rsidRPr="006002FD">
        <w:rPr>
          <w:sz w:val="20"/>
          <w:szCs w:val="20"/>
        </w:rPr>
        <w:t xml:space="preserve">200 protocolos, sumando ellos sobre las 1.727 muestras (sumando las </w:t>
      </w:r>
      <w:r w:rsidR="00477759">
        <w:rPr>
          <w:sz w:val="20"/>
          <w:szCs w:val="20"/>
        </w:rPr>
        <w:t>diferentes</w:t>
      </w:r>
      <w:r w:rsidR="00B3701E" w:rsidRPr="006002FD">
        <w:rPr>
          <w:sz w:val="20"/>
          <w:szCs w:val="20"/>
        </w:rPr>
        <w:t xml:space="preserve"> enfermedades a vigilar en todos los estratos).</w:t>
      </w:r>
      <w:r w:rsidRPr="006002FD">
        <w:rPr>
          <w:sz w:val="20"/>
          <w:szCs w:val="20"/>
        </w:rPr>
        <w:t xml:space="preserve"> </w:t>
      </w:r>
    </w:p>
    <w:p w:rsidR="004A08F0" w:rsidRPr="006002FD" w:rsidRDefault="009C44EE" w:rsidP="006002FD">
      <w:pPr>
        <w:pStyle w:val="Prrafodelista"/>
        <w:ind w:left="0"/>
        <w:jc w:val="both"/>
        <w:rPr>
          <w:sz w:val="20"/>
          <w:szCs w:val="20"/>
        </w:rPr>
      </w:pPr>
      <w:r w:rsidRPr="006002FD">
        <w:rPr>
          <w:sz w:val="20"/>
          <w:szCs w:val="20"/>
        </w:rPr>
        <w:t>Todos los análisis son realizados en el Laboratorio Oficial Lo Aguirre y han sido negativos. L</w:t>
      </w:r>
      <w:r w:rsidR="00477759">
        <w:rPr>
          <w:sz w:val="20"/>
          <w:szCs w:val="20"/>
        </w:rPr>
        <w:t xml:space="preserve">a única excepción, fue en marzo, donde </w:t>
      </w:r>
      <w:r w:rsidRPr="006002FD">
        <w:rPr>
          <w:sz w:val="20"/>
          <w:szCs w:val="20"/>
        </w:rPr>
        <w:t xml:space="preserve">dos planteles resultaron reaccionantes a la prueba de ELISA de PPC, pero la enfermedad fue descartada, ya que dieron negativos a </w:t>
      </w:r>
      <w:r w:rsidR="00477759">
        <w:rPr>
          <w:sz w:val="20"/>
          <w:szCs w:val="20"/>
        </w:rPr>
        <w:t xml:space="preserve">la prueba de </w:t>
      </w:r>
      <w:r w:rsidRPr="006002FD">
        <w:rPr>
          <w:sz w:val="20"/>
          <w:szCs w:val="20"/>
        </w:rPr>
        <w:t>PCR y como medida adicional, los animales fueron inspeccionados por el personal del SAG en 2 oportunidades más, sin encontrarse señas de enfermedades infecto contagiosas.</w:t>
      </w:r>
    </w:p>
    <w:p w:rsidR="00CC3AE5" w:rsidRDefault="00CC3AE5" w:rsidP="006002FD">
      <w:pPr>
        <w:pStyle w:val="Prrafodelista"/>
        <w:ind w:left="0"/>
        <w:jc w:val="both"/>
        <w:rPr>
          <w:sz w:val="20"/>
          <w:szCs w:val="20"/>
        </w:rPr>
      </w:pPr>
    </w:p>
    <w:p w:rsidR="00CC3AE5" w:rsidRDefault="00CC3AE5" w:rsidP="006002FD">
      <w:pPr>
        <w:pStyle w:val="Prrafodelista"/>
        <w:ind w:left="0"/>
        <w:jc w:val="both"/>
        <w:rPr>
          <w:sz w:val="20"/>
          <w:szCs w:val="20"/>
        </w:rPr>
      </w:pPr>
    </w:p>
    <w:p w:rsidR="00CC3AE5" w:rsidRDefault="00CC3AE5" w:rsidP="006002FD">
      <w:pPr>
        <w:pStyle w:val="Prrafodelista"/>
        <w:ind w:left="0"/>
        <w:jc w:val="both"/>
        <w:rPr>
          <w:sz w:val="20"/>
          <w:szCs w:val="20"/>
        </w:rPr>
      </w:pPr>
    </w:p>
    <w:p w:rsidR="00CC3AE5" w:rsidRDefault="00CC3AE5" w:rsidP="006002FD">
      <w:pPr>
        <w:pStyle w:val="Prrafodelista"/>
        <w:ind w:left="0"/>
        <w:jc w:val="both"/>
        <w:rPr>
          <w:sz w:val="20"/>
          <w:szCs w:val="20"/>
        </w:rPr>
      </w:pPr>
    </w:p>
    <w:p w:rsidR="00CC3AE5" w:rsidRDefault="00CC3AE5" w:rsidP="006002FD">
      <w:pPr>
        <w:pStyle w:val="Prrafodelista"/>
        <w:ind w:left="0"/>
        <w:jc w:val="both"/>
        <w:rPr>
          <w:sz w:val="20"/>
          <w:szCs w:val="20"/>
        </w:rPr>
      </w:pPr>
    </w:p>
    <w:p w:rsidR="00CC3AE5" w:rsidRDefault="00CC3AE5" w:rsidP="006002FD">
      <w:pPr>
        <w:pStyle w:val="Prrafodelista"/>
        <w:ind w:left="0"/>
        <w:jc w:val="both"/>
        <w:rPr>
          <w:sz w:val="20"/>
          <w:szCs w:val="20"/>
        </w:rPr>
      </w:pPr>
    </w:p>
    <w:p w:rsidR="00CC3AE5" w:rsidRDefault="00CC3AE5" w:rsidP="006002FD">
      <w:pPr>
        <w:pStyle w:val="Prrafodelista"/>
        <w:ind w:left="0"/>
        <w:jc w:val="both"/>
        <w:rPr>
          <w:sz w:val="20"/>
          <w:szCs w:val="20"/>
        </w:rPr>
      </w:pPr>
    </w:p>
    <w:p w:rsidR="009C44EE" w:rsidRPr="006002FD" w:rsidRDefault="009C44EE" w:rsidP="006002FD">
      <w:pPr>
        <w:pStyle w:val="Prrafodelista"/>
        <w:ind w:left="0"/>
        <w:jc w:val="both"/>
        <w:rPr>
          <w:sz w:val="20"/>
          <w:szCs w:val="20"/>
        </w:rPr>
      </w:pPr>
      <w:r w:rsidRPr="006002FD">
        <w:rPr>
          <w:sz w:val="20"/>
          <w:szCs w:val="20"/>
        </w:rPr>
        <w:lastRenderedPageBreak/>
        <w:t xml:space="preserve">En las tablas número 4 y 5 se detallan las muestras según enfermedad, región tanto en la </w:t>
      </w:r>
      <w:r w:rsidR="00CC3AE5">
        <w:rPr>
          <w:sz w:val="20"/>
          <w:szCs w:val="20"/>
        </w:rPr>
        <w:t xml:space="preserve">no </w:t>
      </w:r>
      <w:r w:rsidRPr="006002FD">
        <w:rPr>
          <w:sz w:val="20"/>
          <w:szCs w:val="20"/>
        </w:rPr>
        <w:t>industria como la industria nacional.</w:t>
      </w:r>
    </w:p>
    <w:p w:rsidR="00DD052B" w:rsidRPr="006002FD" w:rsidRDefault="00F22A5D" w:rsidP="009647E0">
      <w:pPr>
        <w:rPr>
          <w:sz w:val="20"/>
          <w:szCs w:val="20"/>
        </w:rPr>
      </w:pPr>
      <w:r w:rsidRPr="006002FD">
        <w:rPr>
          <w:noProof/>
          <w:sz w:val="20"/>
          <w:szCs w:val="20"/>
          <w:lang w:eastAsia="es-CL"/>
        </w:rPr>
        <w:drawing>
          <wp:inline distT="0" distB="0" distL="0" distR="0">
            <wp:extent cx="6183828" cy="2409245"/>
            <wp:effectExtent l="19050" t="0" r="7422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248" cy="241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52B" w:rsidRPr="006002FD" w:rsidRDefault="00DD052B" w:rsidP="009647E0">
      <w:pPr>
        <w:rPr>
          <w:sz w:val="20"/>
          <w:szCs w:val="20"/>
        </w:rPr>
      </w:pPr>
    </w:p>
    <w:p w:rsidR="00DD052B" w:rsidRPr="006002FD" w:rsidRDefault="00D45B19" w:rsidP="009647E0">
      <w:pPr>
        <w:rPr>
          <w:sz w:val="20"/>
          <w:szCs w:val="20"/>
        </w:rPr>
      </w:pPr>
      <w:r w:rsidRPr="006002FD">
        <w:rPr>
          <w:noProof/>
          <w:sz w:val="20"/>
          <w:szCs w:val="20"/>
          <w:lang w:eastAsia="es-CL"/>
        </w:rPr>
        <w:drawing>
          <wp:inline distT="0" distB="0" distL="0" distR="0">
            <wp:extent cx="6183934" cy="2281766"/>
            <wp:effectExtent l="19050" t="0" r="7316" b="0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495" cy="2286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52B" w:rsidRPr="006002FD" w:rsidRDefault="00DD052B" w:rsidP="009647E0">
      <w:pPr>
        <w:rPr>
          <w:sz w:val="20"/>
          <w:szCs w:val="20"/>
        </w:rPr>
      </w:pPr>
    </w:p>
    <w:sectPr w:rsidR="00DD052B" w:rsidRPr="006002FD" w:rsidSect="00E63E8F">
      <w:headerReference w:type="default" r:id="rId12"/>
      <w:footerReference w:type="default" r:id="rId13"/>
      <w:pgSz w:w="12240" w:h="15840"/>
      <w:pgMar w:top="120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F95" w:rsidRDefault="00087F95" w:rsidP="00E63E8F">
      <w:pPr>
        <w:spacing w:after="0" w:line="240" w:lineRule="auto"/>
      </w:pPr>
      <w:r>
        <w:separator/>
      </w:r>
    </w:p>
  </w:endnote>
  <w:endnote w:type="continuationSeparator" w:id="0">
    <w:p w:rsidR="00087F95" w:rsidRDefault="00087F95" w:rsidP="00E6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19779"/>
      <w:docPartObj>
        <w:docPartGallery w:val="Page Numbers (Bottom of Page)"/>
        <w:docPartUnique/>
      </w:docPartObj>
    </w:sdtPr>
    <w:sdtContent>
      <w:p w:rsidR="00E63E8F" w:rsidRDefault="00B76623">
        <w:pPr>
          <w:pStyle w:val="Piedepgina"/>
          <w:jc w:val="right"/>
        </w:pPr>
        <w:fldSimple w:instr=" PAGE   \* MERGEFORMAT ">
          <w:r w:rsidR="00E86CAE">
            <w:rPr>
              <w:noProof/>
            </w:rPr>
            <w:t>3</w:t>
          </w:r>
        </w:fldSimple>
      </w:p>
    </w:sdtContent>
  </w:sdt>
  <w:p w:rsidR="00E63E8F" w:rsidRDefault="00E63E8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F95" w:rsidRDefault="00087F95" w:rsidP="00E63E8F">
      <w:pPr>
        <w:spacing w:after="0" w:line="240" w:lineRule="auto"/>
      </w:pPr>
      <w:r>
        <w:separator/>
      </w:r>
    </w:p>
  </w:footnote>
  <w:footnote w:type="continuationSeparator" w:id="0">
    <w:p w:rsidR="00087F95" w:rsidRDefault="00087F95" w:rsidP="00E6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E8F" w:rsidRDefault="00E63E8F" w:rsidP="00E63E8F">
    <w:pPr>
      <w:pStyle w:val="Encabezado"/>
      <w:tabs>
        <w:tab w:val="clear" w:pos="4419"/>
        <w:tab w:val="clear" w:pos="8838"/>
        <w:tab w:val="left" w:pos="1953"/>
      </w:tabs>
      <w:jc w:val="right"/>
    </w:pPr>
    <w:r>
      <w:tab/>
    </w:r>
    <w:r>
      <w:rPr>
        <w:noProof/>
        <w:lang w:eastAsia="es-CL"/>
      </w:rPr>
      <w:drawing>
        <wp:inline distT="0" distB="0" distL="0" distR="0">
          <wp:extent cx="927155" cy="843711"/>
          <wp:effectExtent l="19050" t="0" r="6295" b="0"/>
          <wp:docPr id="8" name="7 Imagen" descr="Logo S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8801" cy="845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3E8F" w:rsidRDefault="00E63E8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506E"/>
    <w:multiLevelType w:val="hybridMultilevel"/>
    <w:tmpl w:val="ADCACFD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02341"/>
    <w:multiLevelType w:val="hybridMultilevel"/>
    <w:tmpl w:val="5B10E5F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647E0"/>
    <w:rsid w:val="00087F95"/>
    <w:rsid w:val="00215B22"/>
    <w:rsid w:val="00243AB5"/>
    <w:rsid w:val="00263B20"/>
    <w:rsid w:val="00477759"/>
    <w:rsid w:val="004A08F0"/>
    <w:rsid w:val="005339BA"/>
    <w:rsid w:val="0059227A"/>
    <w:rsid w:val="006002FD"/>
    <w:rsid w:val="00705E09"/>
    <w:rsid w:val="00757534"/>
    <w:rsid w:val="00841812"/>
    <w:rsid w:val="00853A4A"/>
    <w:rsid w:val="00867D74"/>
    <w:rsid w:val="009251FC"/>
    <w:rsid w:val="009647E0"/>
    <w:rsid w:val="009B2535"/>
    <w:rsid w:val="009C44EE"/>
    <w:rsid w:val="00A23BEB"/>
    <w:rsid w:val="00AC50DB"/>
    <w:rsid w:val="00B3701E"/>
    <w:rsid w:val="00B76623"/>
    <w:rsid w:val="00CC3AE5"/>
    <w:rsid w:val="00D42CD4"/>
    <w:rsid w:val="00D45B19"/>
    <w:rsid w:val="00DD052B"/>
    <w:rsid w:val="00E63E8F"/>
    <w:rsid w:val="00E65C90"/>
    <w:rsid w:val="00E86CAE"/>
    <w:rsid w:val="00F2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C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052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52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51F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3E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E8F"/>
  </w:style>
  <w:style w:type="paragraph" w:styleId="Piedepgina">
    <w:name w:val="footer"/>
    <w:basedOn w:val="Normal"/>
    <w:link w:val="PiedepginaCar"/>
    <w:uiPriority w:val="99"/>
    <w:unhideWhenUsed/>
    <w:rsid w:val="00E63E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3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2020-07-14T20:52:00Z</dcterms:created>
  <dcterms:modified xsi:type="dcterms:W3CDTF">2020-07-30T18:17:00Z</dcterms:modified>
</cp:coreProperties>
</file>